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CE931F">
      <w:pPr>
        <w:pStyle w:val="7"/>
        <w:jc w:val="left"/>
        <w:rPr>
          <w:rFonts w:hint="eastAsia" w:ascii="微软雅黑" w:hAnsi="微软雅黑" w:eastAsia="微软雅黑" w:cs="微软雅黑"/>
        </w:rPr>
      </w:pPr>
    </w:p>
    <w:p w14:paraId="5224C9AB">
      <w:pPr>
        <w:pStyle w:val="2"/>
        <w:pBdr>
          <w:bottom w:val="single" w:color="auto" w:sz="2" w:space="0"/>
        </w:pBdr>
        <w:snapToGrid/>
        <w:spacing w:before="0" w:after="0" w:line="360" w:lineRule="auto"/>
        <w:ind w:left="0" w:right="0" w:firstLine="0"/>
        <w:rPr>
          <w:rFonts w:hint="eastAsia" w:ascii="微软雅黑" w:hAnsi="微软雅黑" w:eastAsia="微软雅黑" w:cs="微软雅黑"/>
        </w:rPr>
      </w:pPr>
      <w:bookmarkStart w:id="0" w:name="_GoBack"/>
      <w:bookmarkEnd w:id="0"/>
      <w:r>
        <w:rPr>
          <w:rFonts w:hint="eastAsia" w:ascii="微软雅黑" w:hAnsi="微软雅黑" w:eastAsia="微软雅黑" w:cs="微软雅黑"/>
          <w:b/>
          <w:i w:val="0"/>
          <w:strike w:val="0"/>
          <w:color w:val="000000"/>
          <w:spacing w:val="0"/>
          <w:sz w:val="30"/>
          <w:u w:val="none"/>
          <w:shd w:val="clear" w:color="auto" w:fill="FFFFFF"/>
        </w:rPr>
        <w:t>Overall Guidelines</w:t>
      </w:r>
    </w:p>
    <w:p w14:paraId="4B5F2465">
      <w:pPr>
        <w:pBdr>
          <w:bottom w:val="single" w:color="auto" w:sz="2" w:space="0"/>
        </w:pBdr>
        <w:snapToGrid/>
        <w:spacing w:line="360" w:lineRule="auto"/>
        <w:ind w:left="0" w:firstLine="0"/>
        <w:rPr>
          <w:rFonts w:hint="eastAsia" w:ascii="微软雅黑" w:hAnsi="微软雅黑" w:eastAsia="微软雅黑" w:cs="微软雅黑"/>
          <w:i w:val="0"/>
          <w:strike w:val="0"/>
          <w:color w:val="000000"/>
          <w:spacing w:val="0"/>
          <w:sz w:val="24"/>
          <w:u w:val="none"/>
          <w:shd w:val="clear" w:color="auto" w:fill="FFFFFF"/>
        </w:rPr>
      </w:pPr>
      <w:r>
        <w:rPr>
          <w:rFonts w:hint="eastAsia" w:ascii="微软雅黑" w:hAnsi="微软雅黑" w:eastAsia="微软雅黑" w:cs="微软雅黑"/>
          <w:i w:val="0"/>
          <w:strike w:val="0"/>
          <w:color w:val="000000"/>
          <w:spacing w:val="0"/>
          <w:sz w:val="24"/>
          <w:u w:val="none"/>
          <w:shd w:val="clear" w:color="auto" w:fill="FFFFFF"/>
        </w:rPr>
        <w:t>To Users: This tool has automatically performed in-depth scanning and data analysis of the VMware environment. For a smooth migration, this chapter aims to integrate data from subsequent detailed tables and guide you through the key transformation from "data evaluation" to "implementation plan."</w:t>
      </w:r>
    </w:p>
    <w:p w14:paraId="73ACD92A">
      <w:pPr>
        <w:pBdr>
          <w:bottom w:val="single" w:color="auto" w:sz="2" w:space="0"/>
        </w:pBdr>
        <w:snapToGrid/>
        <w:spacing w:line="360" w:lineRule="auto"/>
        <w:ind w:left="0" w:firstLine="0"/>
        <w:rPr>
          <w:rFonts w:hint="eastAsia" w:ascii="微软雅黑" w:hAnsi="微软雅黑" w:eastAsia="微软雅黑" w:cs="微软雅黑"/>
          <w:i w:val="0"/>
          <w:iCs w:val="0"/>
          <w:caps w:val="0"/>
          <w:color w:val="0F1115"/>
          <w:spacing w:val="0"/>
          <w:sz w:val="24"/>
          <w:szCs w:val="24"/>
          <w:shd w:val="clear" w:fill="FFFFFF"/>
        </w:rPr>
      </w:pPr>
      <w:r>
        <w:rPr>
          <w:rStyle w:val="11"/>
          <w:rFonts w:hint="eastAsia" w:ascii="微软雅黑" w:hAnsi="微软雅黑" w:eastAsia="微软雅黑" w:cs="微软雅黑"/>
          <w:b/>
          <w:bCs/>
          <w:i w:val="0"/>
          <w:iCs w:val="0"/>
          <w:caps w:val="0"/>
          <w:color w:val="0F1115"/>
          <w:spacing w:val="0"/>
          <w:sz w:val="24"/>
          <w:szCs w:val="24"/>
          <w:shd w:val="clear" w:fill="FFFFFF"/>
        </w:rPr>
        <w:t>Core Logic:</w:t>
      </w:r>
      <w:r>
        <w:rPr>
          <w:rFonts w:hint="eastAsia" w:ascii="微软雅黑" w:hAnsi="微软雅黑" w:eastAsia="微软雅黑" w:cs="微软雅黑"/>
          <w:i w:val="0"/>
          <w:iCs w:val="0"/>
          <w:caps w:val="0"/>
          <w:color w:val="0F1115"/>
          <w:spacing w:val="0"/>
          <w:sz w:val="24"/>
          <w:szCs w:val="24"/>
          <w:shd w:val="clear" w:fill="FFFFFF"/>
        </w:rPr>
        <w:t> The assessment is not merely about reviewing data, but about completing a </w:t>
      </w:r>
      <w:r>
        <w:rPr>
          <w:rStyle w:val="11"/>
          <w:rFonts w:hint="eastAsia" w:ascii="微软雅黑" w:hAnsi="微软雅黑" w:eastAsia="微软雅黑" w:cs="微软雅黑"/>
          <w:b/>
          <w:bCs/>
          <w:i w:val="0"/>
          <w:iCs w:val="0"/>
          <w:caps w:val="0"/>
          <w:color w:val="0F1115"/>
          <w:spacing w:val="0"/>
          <w:sz w:val="24"/>
          <w:szCs w:val="24"/>
          <w:shd w:val="clear" w:fill="FFFFFF"/>
        </w:rPr>
        <w:t>six-layer funnel filtration</w:t>
      </w:r>
      <w:r>
        <w:rPr>
          <w:rFonts w:hint="eastAsia" w:ascii="微软雅黑" w:hAnsi="微软雅黑" w:eastAsia="微软雅黑" w:cs="微软雅黑"/>
          <w:i w:val="0"/>
          <w:iCs w:val="0"/>
          <w:caps w:val="0"/>
          <w:color w:val="0F1115"/>
          <w:spacing w:val="0"/>
          <w:sz w:val="24"/>
          <w:szCs w:val="24"/>
          <w:shd w:val="clear" w:fill="FFFFFF"/>
        </w:rPr>
        <w:t> process: </w:t>
      </w:r>
      <w:r>
        <w:rPr>
          <w:rStyle w:val="11"/>
          <w:rFonts w:hint="eastAsia" w:ascii="微软雅黑" w:hAnsi="微软雅黑" w:eastAsia="微软雅黑" w:cs="微软雅黑"/>
          <w:b/>
          <w:bCs/>
          <w:i w:val="0"/>
          <w:iCs w:val="0"/>
          <w:caps w:val="0"/>
          <w:color w:val="0F1115"/>
          <w:spacing w:val="0"/>
          <w:sz w:val="24"/>
          <w:szCs w:val="24"/>
          <w:shd w:val="clear" w:fill="FFFFFF"/>
        </w:rPr>
        <w:t>Can the hardware be reused? → Can the virtual machine run? → How can the virtual machine be migrated? → Are there any migration risks? → Will key features remain unchanged? → Will the business application be recognized (as functional and compliant)?</w:t>
      </w:r>
      <w:r>
        <w:rPr>
          <w:rFonts w:hint="eastAsia" w:ascii="微软雅黑" w:hAnsi="微软雅黑" w:eastAsia="微软雅黑" w:cs="微软雅黑"/>
          <w:i w:val="0"/>
          <w:iCs w:val="0"/>
          <w:caps w:val="0"/>
          <w:color w:val="0F1115"/>
          <w:spacing w:val="0"/>
          <w:sz w:val="24"/>
          <w:szCs w:val="24"/>
          <w:shd w:val="clear" w:fill="FFFFFF"/>
        </w:rPr>
        <w:t> Please strictly follow the investigation clues below to mitigate core risks.</w:t>
      </w:r>
    </w:p>
    <w:p w14:paraId="70E54671">
      <w:pPr>
        <w:pBdr>
          <w:bottom w:val="single" w:color="1C1F23" w:sz="8" w:space="0"/>
        </w:pBdr>
        <w:ind w:left="0"/>
        <w:rPr>
          <w:rFonts w:hint="eastAsia" w:ascii="微软雅黑" w:hAnsi="微软雅黑" w:eastAsia="微软雅黑" w:cs="微软雅黑"/>
        </w:rPr>
      </w:pPr>
    </w:p>
    <w:p w14:paraId="3BE85ABF">
      <w:pPr>
        <w:pStyle w:val="2"/>
        <w:pBdr>
          <w:bottom w:val="single" w:color="auto" w:sz="2" w:space="0"/>
        </w:pBdr>
        <w:snapToGrid/>
        <w:spacing w:before="225" w:after="0" w:line="360" w:lineRule="auto"/>
        <w:ind w:left="0" w:right="0" w:firstLine="0"/>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30"/>
          <w:u w:val="none"/>
          <w:shd w:val="clear" w:color="auto" w:fill="FFFFFF"/>
        </w:rPr>
        <w:t>Detailed Action Guidelines</w:t>
      </w:r>
    </w:p>
    <w:p w14:paraId="2A7FAA7A">
      <w:pPr>
        <w:pStyle w:val="3"/>
        <w:pBdr>
          <w:bottom w:val="single" w:color="auto" w:sz="2" w:space="0"/>
        </w:pBdr>
        <w:snapToGrid/>
        <w:spacing w:before="203" w:after="0" w:line="360" w:lineRule="auto"/>
        <w:ind w:left="0" w:right="0" w:firstLine="0"/>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7"/>
          <w:u w:val="none"/>
          <w:shd w:val="clear" w:color="auto" w:fill="FFFFFF"/>
        </w:rPr>
        <w:t>2.1 Hardware Reuse Evaluation (Decide Hardware Retention or Replacement)</w:t>
      </w:r>
    </w:p>
    <w:p w14:paraId="2E1D4CAD">
      <w:pPr>
        <w:pBdr>
          <w:bottom w:val="single" w:color="auto" w:sz="2" w:space="0"/>
        </w:pBdr>
        <w:snapToGrid/>
        <w:spacing w:line="360" w:lineRule="auto"/>
        <w:ind w:left="0" w:firstLine="0"/>
        <w:rPr>
          <w:rFonts w:hint="eastAsia" w:ascii="微软雅黑" w:hAnsi="微软雅黑" w:eastAsia="微软雅黑" w:cs="微软雅黑"/>
        </w:rPr>
      </w:pPr>
      <w:r>
        <w:rPr>
          <w:rFonts w:hint="eastAsia" w:ascii="微软雅黑" w:hAnsi="微软雅黑" w:eastAsia="微软雅黑" w:cs="微软雅黑"/>
          <w:b/>
          <w:i w:val="0"/>
          <w:strike w:val="0"/>
          <w:color w:val="auto"/>
          <w:spacing w:val="0"/>
          <w:sz w:val="24"/>
          <w:u w:val="none"/>
          <w:shd w:val="clear" w:color="auto" w:fill="FFFFFF"/>
        </w:rPr>
        <w:t>Scenario</w:t>
      </w:r>
      <w:r>
        <w:rPr>
          <w:rFonts w:hint="eastAsia" w:ascii="微软雅黑" w:hAnsi="微软雅黑" w:eastAsia="微软雅黑" w:cs="微软雅黑"/>
          <w:i w:val="0"/>
          <w:strike w:val="0"/>
          <w:color w:val="000000"/>
          <w:spacing w:val="0"/>
          <w:sz w:val="24"/>
          <w:u w:val="none"/>
          <w:shd w:val="clear" w:color="auto" w:fill="FFFFFF"/>
        </w:rPr>
        <w:t>: The customer intends to reuse existing servers for installing Sangfor HCI.</w:t>
      </w:r>
    </w:p>
    <w:tbl>
      <w:tblPr>
        <w:tblStyle w:val="9"/>
        <w:tblW w:w="0" w:type="auto"/>
        <w:tblInd w:w="0" w:type="dxa"/>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Layout w:type="fixed"/>
        <w:tblCellMar>
          <w:top w:w="0" w:type="dxa"/>
          <w:left w:w="108" w:type="dxa"/>
          <w:bottom w:w="0" w:type="dxa"/>
          <w:right w:w="108" w:type="dxa"/>
        </w:tblCellMar>
      </w:tblPr>
      <w:tblGrid>
        <w:gridCol w:w="2192"/>
        <w:gridCol w:w="2238"/>
        <w:gridCol w:w="1720"/>
        <w:gridCol w:w="2897"/>
      </w:tblGrid>
      <w:tr w14:paraId="5E3E91D3">
        <w:tc>
          <w:tcPr>
            <w:tcW w:w="2192" w:type="dxa"/>
            <w:tcBorders>
              <w:top w:val="single" w:color="CBCDD1" w:sz="0" w:space="0"/>
              <w:left w:val="single" w:color="CBCDD1"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05F7F711">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Core Task</w:t>
            </w:r>
          </w:p>
        </w:tc>
        <w:tc>
          <w:tcPr>
            <w:tcW w:w="2238" w:type="dxa"/>
            <w:tcBorders>
              <w:top w:val="single" w:color="CBCDD1" w:sz="0" w:space="0"/>
              <w:left w:val="single" w:color="9A9A9A"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77258ADA">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Associated Data Table</w:t>
            </w:r>
          </w:p>
        </w:tc>
        <w:tc>
          <w:tcPr>
            <w:tcW w:w="1720" w:type="dxa"/>
            <w:tcBorders>
              <w:top w:val="single" w:color="CBCDD1" w:sz="0" w:space="0"/>
              <w:left w:val="single" w:color="9A9A9A"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26B29555">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Involved Roles</w:t>
            </w:r>
          </w:p>
        </w:tc>
        <w:tc>
          <w:tcPr>
            <w:tcW w:w="2897" w:type="dxa"/>
            <w:tcBorders>
              <w:top w:val="single" w:color="CBCDD1" w:sz="0" w:space="0"/>
              <w:left w:val="single" w:color="9A9A9A" w:sz="0" w:space="0"/>
              <w:bottom w:val="single" w:color="CBCDD1" w:sz="0" w:space="0"/>
              <w:right w:val="single" w:color="CBCDD1" w:sz="0" w:space="0"/>
            </w:tcBorders>
            <w:shd w:val="clear" w:color="auto" w:fill="F2F2F2"/>
            <w:tcMar>
              <w:top w:w="180" w:type="dxa"/>
              <w:left w:w="270" w:type="dxa"/>
              <w:bottom w:w="180" w:type="dxa"/>
              <w:right w:w="270" w:type="dxa"/>
            </w:tcMar>
            <w:vAlign w:val="center"/>
          </w:tcPr>
          <w:p w14:paraId="31EA92BA">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Key Actions &amp; Judgment Logic</w:t>
            </w:r>
          </w:p>
        </w:tc>
      </w:tr>
      <w:tr w14:paraId="1EED170B">
        <w:tc>
          <w:tcPr>
            <w:tcW w:w="2192"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64B9D4A5">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Compatibility Check for Reusable Devices</w:t>
            </w:r>
          </w:p>
        </w:tc>
        <w:tc>
          <w:tcPr>
            <w:tcW w:w="2238"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02AFFDCF">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Hardware Compatibility Verification Details</w:t>
            </w:r>
          </w:p>
        </w:tc>
        <w:tc>
          <w:tcPr>
            <w:tcW w:w="1720"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28A89530">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Pre-sales/DeliveryCustomer Hardware Operations</w:t>
            </w:r>
          </w:p>
        </w:tc>
        <w:tc>
          <w:tcPr>
            <w:tcW w:w="2897"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74423A62">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1. Review Results: Filter for "incompatible" components (e.g., RAID cards, interrupts).2. Make Decisions:- Incompatible: Must replace the component or abandon the server reuse proposal (purchase new hardware).- Uncertified/Certification in Progress: Need to initiate Sangfor's hardware compatibility application process, or use the server only for non-core resource pools.</w:t>
            </w:r>
          </w:p>
        </w:tc>
      </w:tr>
    </w:tbl>
    <w:p w14:paraId="757AE6B0">
      <w:pPr>
        <w:pBdr>
          <w:bottom w:val="single" w:color="1C1F23" w:sz="8" w:space="0"/>
        </w:pBdr>
        <w:ind w:left="0"/>
        <w:rPr>
          <w:rFonts w:hint="eastAsia" w:ascii="微软雅黑" w:hAnsi="微软雅黑" w:eastAsia="微软雅黑" w:cs="微软雅黑"/>
        </w:rPr>
      </w:pPr>
    </w:p>
    <w:p w14:paraId="6BDEE776">
      <w:pPr>
        <w:pStyle w:val="3"/>
        <w:pBdr>
          <w:bottom w:val="single" w:color="auto" w:sz="2" w:space="0"/>
        </w:pBdr>
        <w:snapToGrid/>
        <w:spacing w:before="203" w:after="0" w:line="360" w:lineRule="auto"/>
        <w:ind w:left="0" w:right="0" w:firstLine="0"/>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7"/>
          <w:u w:val="none"/>
          <w:shd w:val="clear" w:color="auto" w:fill="FFFFFF"/>
        </w:rPr>
        <w:t>2.2 Virtual Machine Migration Risk Evaluation (Decide Migration Strategy)</w:t>
      </w:r>
    </w:p>
    <w:p w14:paraId="247ED605">
      <w:pPr>
        <w:pStyle w:val="4"/>
        <w:pBdr>
          <w:bottom w:val="single" w:color="auto" w:sz="2" w:space="0"/>
        </w:pBdr>
        <w:snapToGrid/>
        <w:spacing w:before="0" w:after="0" w:line="360" w:lineRule="auto"/>
        <w:ind w:left="0" w:right="0" w:firstLine="0"/>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shd w:val="clear" w:color="auto" w:fill="FFFFFF"/>
        </w:rPr>
        <w:t>2.2.1 OS Compatibility Classification Decision</w:t>
      </w:r>
    </w:p>
    <w:tbl>
      <w:tblPr>
        <w:tblStyle w:val="9"/>
        <w:tblW w:w="0" w:type="auto"/>
        <w:tblInd w:w="0" w:type="dxa"/>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Layout w:type="fixed"/>
        <w:tblCellMar>
          <w:top w:w="0" w:type="dxa"/>
          <w:left w:w="108" w:type="dxa"/>
          <w:bottom w:w="0" w:type="dxa"/>
          <w:right w:w="108" w:type="dxa"/>
        </w:tblCellMar>
      </w:tblPr>
      <w:tblGrid>
        <w:gridCol w:w="1659"/>
        <w:gridCol w:w="1978"/>
        <w:gridCol w:w="1128"/>
        <w:gridCol w:w="2974"/>
        <w:gridCol w:w="1307"/>
      </w:tblGrid>
      <w:tr w14:paraId="590DA953">
        <w:tc>
          <w:tcPr>
            <w:tcW w:w="1659" w:type="dxa"/>
            <w:tcBorders>
              <w:top w:val="single" w:color="CBCDD1" w:sz="0" w:space="0"/>
              <w:left w:val="single" w:color="CBCDD1"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59969027">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Core Task</w:t>
            </w:r>
          </w:p>
        </w:tc>
        <w:tc>
          <w:tcPr>
            <w:tcW w:w="1978" w:type="dxa"/>
            <w:tcBorders>
              <w:top w:val="single" w:color="CBCDD1" w:sz="0" w:space="0"/>
              <w:left w:val="single" w:color="9A9A9A"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695A7B86">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Associated Data Table</w:t>
            </w:r>
          </w:p>
        </w:tc>
        <w:tc>
          <w:tcPr>
            <w:tcW w:w="1128" w:type="dxa"/>
            <w:tcBorders>
              <w:top w:val="single" w:color="CBCDD1" w:sz="0" w:space="0"/>
              <w:left w:val="single" w:color="9A9A9A"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3151173F">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Involved Roles</w:t>
            </w:r>
          </w:p>
        </w:tc>
        <w:tc>
          <w:tcPr>
            <w:tcW w:w="2974" w:type="dxa"/>
            <w:tcBorders>
              <w:top w:val="single" w:color="CBCDD1" w:sz="0" w:space="0"/>
              <w:left w:val="single" w:color="9A9A9A"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5063F4AD">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Key Actions &amp; Judgment Logic</w:t>
            </w:r>
          </w:p>
        </w:tc>
        <w:tc>
          <w:tcPr>
            <w:tcW w:w="1307" w:type="dxa"/>
            <w:tcBorders>
              <w:top w:val="single" w:color="CBCDD1" w:sz="0" w:space="0"/>
              <w:left w:val="single" w:color="9A9A9A" w:sz="0" w:space="0"/>
              <w:bottom w:val="single" w:color="CBCDD1" w:sz="0" w:space="0"/>
              <w:right w:val="single" w:color="CBCDD1" w:sz="0" w:space="0"/>
            </w:tcBorders>
            <w:shd w:val="clear" w:color="auto" w:fill="F2F2F2"/>
            <w:tcMar>
              <w:top w:w="180" w:type="dxa"/>
              <w:left w:w="270" w:type="dxa"/>
              <w:bottom w:w="180" w:type="dxa"/>
              <w:right w:w="270" w:type="dxa"/>
            </w:tcMar>
            <w:vAlign w:val="center"/>
          </w:tcPr>
          <w:p w14:paraId="5D469686">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Output</w:t>
            </w:r>
          </w:p>
        </w:tc>
      </w:tr>
      <w:tr w14:paraId="21059D6F">
        <w:tc>
          <w:tcPr>
            <w:tcW w:w="1659"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5377CE0C">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OS ClassificationVM Key Information Archiving</w:t>
            </w:r>
          </w:p>
        </w:tc>
        <w:tc>
          <w:tcPr>
            <w:tcW w:w="1978"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7B11156D">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OS Compatibility Verification DetailsVM Key Information Archiving</w:t>
            </w:r>
          </w:p>
        </w:tc>
        <w:tc>
          <w:tcPr>
            <w:tcW w:w="1128"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3255DAD7">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Delivery ManagerApplication Owner</w:t>
            </w:r>
          </w:p>
        </w:tc>
        <w:tc>
          <w:tcPr>
            <w:tcW w:w="2974"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23ED4181">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Classification Handling Strategies:1. High Risk (Database/Middleware + Incompatible Blacklist): If the VM runs databases such as Oracle/SQL Server and the OS is explicitly marked as incompatible, direct full-machine migration is strictly prohibited. OS compatibility adaptation must be completed first.2. Medium Risk (General Business + Incompatible/Unverified): Need to apply for compatibility testing or verify business startup in a test environment.3. Low Risk (Minor Version Confirmation): Major version compatibility (e.g., CentOS 7.x) allows direct migration in most cases; arrange business verification afterward.</w:t>
            </w:r>
          </w:p>
        </w:tc>
        <w:tc>
          <w:tcPr>
            <w:tcW w:w="1307"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4D3FD251">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Compatibility Test List</w:t>
            </w:r>
          </w:p>
        </w:tc>
      </w:tr>
    </w:tbl>
    <w:p w14:paraId="18BC782C">
      <w:pPr>
        <w:pStyle w:val="4"/>
        <w:pBdr>
          <w:bottom w:val="single" w:color="auto" w:sz="2" w:space="0"/>
        </w:pBdr>
        <w:snapToGrid/>
        <w:spacing w:before="180" w:after="0" w:line="360" w:lineRule="auto"/>
        <w:ind w:left="0" w:right="0" w:firstLine="0"/>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shd w:val="clear" w:color="auto" w:fill="FFFFFF"/>
        </w:rPr>
        <w:t>2.2.2 Configuration Difference Response</w:t>
      </w:r>
    </w:p>
    <w:p w14:paraId="709EF461">
      <w:pPr>
        <w:pBdr>
          <w:bottom w:val="single" w:color="auto" w:sz="2" w:space="0"/>
        </w:pBdr>
        <w:snapToGrid/>
        <w:spacing w:line="360" w:lineRule="auto"/>
        <w:ind w:left="0" w:firstLine="0"/>
        <w:rPr>
          <w:rFonts w:hint="eastAsia" w:ascii="微软雅黑" w:hAnsi="微软雅黑" w:eastAsia="微软雅黑" w:cs="微软雅黑"/>
        </w:rPr>
      </w:pPr>
      <w:r>
        <w:rPr>
          <w:rFonts w:hint="eastAsia" w:ascii="微软雅黑" w:hAnsi="微软雅黑" w:eastAsia="微软雅黑" w:cs="微软雅黑"/>
          <w:b/>
          <w:i w:val="0"/>
          <w:strike w:val="0"/>
          <w:color w:val="auto"/>
          <w:spacing w:val="0"/>
          <w:sz w:val="24"/>
          <w:u w:val="none"/>
          <w:shd w:val="clear" w:color="auto" w:fill="FFFFFF"/>
        </w:rPr>
        <w:t>Scope of Application</w:t>
      </w:r>
      <w:r>
        <w:rPr>
          <w:rFonts w:hint="eastAsia" w:ascii="微软雅黑" w:hAnsi="微软雅黑" w:eastAsia="微软雅黑" w:cs="微软雅黑"/>
          <w:i w:val="0"/>
          <w:strike w:val="0"/>
          <w:color w:val="000000"/>
          <w:spacing w:val="0"/>
          <w:sz w:val="24"/>
          <w:u w:val="none"/>
          <w:shd w:val="clear" w:color="auto" w:fill="FFFFFF"/>
        </w:rPr>
        <w:t>: (Focus on unsupported items in the VM Configuration Automatic Conversion Evaluation Details)</w:t>
      </w:r>
    </w:p>
    <w:tbl>
      <w:tblPr>
        <w:tblStyle w:val="9"/>
        <w:tblW w:w="0" w:type="auto"/>
        <w:tblInd w:w="0" w:type="dxa"/>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Layout w:type="fixed"/>
        <w:tblCellMar>
          <w:top w:w="0" w:type="dxa"/>
          <w:left w:w="108" w:type="dxa"/>
          <w:bottom w:w="0" w:type="dxa"/>
          <w:right w:w="108" w:type="dxa"/>
        </w:tblCellMar>
      </w:tblPr>
      <w:tblGrid>
        <w:gridCol w:w="2462"/>
        <w:gridCol w:w="3293"/>
        <w:gridCol w:w="3293"/>
      </w:tblGrid>
      <w:tr w14:paraId="67C2F3E8">
        <w:tc>
          <w:tcPr>
            <w:tcW w:w="2462" w:type="dxa"/>
            <w:tcBorders>
              <w:top w:val="single" w:color="CBCDD1" w:sz="0" w:space="0"/>
              <w:left w:val="single" w:color="CBCDD1"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44F9F9F4">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Conversion Category</w:t>
            </w:r>
          </w:p>
        </w:tc>
        <w:tc>
          <w:tcPr>
            <w:tcW w:w="3293" w:type="dxa"/>
            <w:tcBorders>
              <w:top w:val="single" w:color="CBCDD1" w:sz="0" w:space="0"/>
              <w:left w:val="single" w:color="9A9A9A"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05F87EFF">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Tool Output Characteristics</w:t>
            </w:r>
          </w:p>
        </w:tc>
        <w:tc>
          <w:tcPr>
            <w:tcW w:w="3293" w:type="dxa"/>
            <w:tcBorders>
              <w:top w:val="single" w:color="CBCDD1" w:sz="0" w:space="0"/>
              <w:left w:val="single" w:color="9A9A9A" w:sz="0" w:space="0"/>
              <w:bottom w:val="single" w:color="CBCDD1" w:sz="0" w:space="0"/>
              <w:right w:val="single" w:color="CBCDD1" w:sz="0" w:space="0"/>
            </w:tcBorders>
            <w:shd w:val="clear" w:color="auto" w:fill="F2F2F2"/>
            <w:tcMar>
              <w:top w:w="180" w:type="dxa"/>
              <w:left w:w="270" w:type="dxa"/>
              <w:bottom w:w="180" w:type="dxa"/>
              <w:right w:w="270" w:type="dxa"/>
            </w:tcMar>
            <w:vAlign w:val="center"/>
          </w:tcPr>
          <w:p w14:paraId="1B64978C">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Response Guidelines</w:t>
            </w:r>
          </w:p>
        </w:tc>
      </w:tr>
      <w:tr w14:paraId="257B08CB">
        <w:tc>
          <w:tcPr>
            <w:tcW w:w="2462"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39D300C4">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Optimizable Alternative Solutions</w:t>
            </w:r>
          </w:p>
        </w:tc>
        <w:tc>
          <w:tcPr>
            <w:tcW w:w="3293"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0AC46A69">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Not directly supported, but with similar optimization options(e.g., CPU usage/boot time, latency sensitivity)</w:t>
            </w:r>
          </w:p>
        </w:tc>
        <w:tc>
          <w:tcPr>
            <w:tcW w:w="3293"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2FE4FB4C">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ℹ️ Refer to Best Practices:Sangfor HCI provides corresponding QoS and performance optimization switches. Approach: Configure relevant best practices on the HCI platform after migration.</w:t>
            </w:r>
          </w:p>
        </w:tc>
      </w:tr>
      <w:tr w14:paraId="2F47259B">
        <w:tc>
          <w:tcPr>
            <w:tcW w:w="2462"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092610AA">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Business-Confirmed Avoidance Solutions</w:t>
            </w:r>
          </w:p>
        </w:tc>
        <w:tc>
          <w:tcPr>
            <w:tcW w:w="3293"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303997CD">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Temporarily unsupported with no direct alternatives(e.g., nested virtualization)</w:t>
            </w:r>
          </w:p>
        </w:tc>
        <w:tc>
          <w:tcPr>
            <w:tcW w:w="3293"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6939FCF0">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 Notify Changes in Advance:This feature will become invalid after migration. Guidelines: Confirm with the business side: "Does your business rely on online memory expansion?" If yes, immediately adjust the migration window.</w:t>
            </w:r>
          </w:p>
        </w:tc>
      </w:tr>
    </w:tbl>
    <w:p w14:paraId="4C1CF3D1">
      <w:pPr>
        <w:pStyle w:val="4"/>
        <w:pBdr>
          <w:bottom w:val="single" w:color="auto" w:sz="2" w:space="0"/>
        </w:pBdr>
        <w:snapToGrid/>
        <w:spacing w:before="180" w:after="0" w:line="360" w:lineRule="auto"/>
        <w:ind w:left="0" w:right="0" w:firstLine="0"/>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shd w:val="clear" w:color="auto" w:fill="FFFFFF"/>
        </w:rPr>
        <w:t>2.2.3 Issue Confirmation &amp; Resolution</w:t>
      </w:r>
    </w:p>
    <w:tbl>
      <w:tblPr>
        <w:tblStyle w:val="9"/>
        <w:tblW w:w="0" w:type="auto"/>
        <w:tblInd w:w="0" w:type="dxa"/>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Layout w:type="fixed"/>
        <w:tblCellMar>
          <w:top w:w="0" w:type="dxa"/>
          <w:left w:w="108" w:type="dxa"/>
          <w:bottom w:w="0" w:type="dxa"/>
          <w:right w:w="108" w:type="dxa"/>
        </w:tblCellMar>
      </w:tblPr>
      <w:tblGrid>
        <w:gridCol w:w="2998"/>
        <w:gridCol w:w="1651"/>
        <w:gridCol w:w="989"/>
        <w:gridCol w:w="3409"/>
      </w:tblGrid>
      <w:tr w14:paraId="18EE7317">
        <w:tc>
          <w:tcPr>
            <w:tcW w:w="2998" w:type="dxa"/>
            <w:tcBorders>
              <w:top w:val="single" w:color="CBCDD1" w:sz="0" w:space="0"/>
              <w:left w:val="single" w:color="CBCDD1"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3C1BE74C">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Business Priority</w:t>
            </w:r>
          </w:p>
        </w:tc>
        <w:tc>
          <w:tcPr>
            <w:tcW w:w="1651" w:type="dxa"/>
            <w:tcBorders>
              <w:top w:val="single" w:color="CBCDD1" w:sz="0" w:space="0"/>
              <w:left w:val="single" w:color="9A9A9A"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09E02DC4">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Risk Dimension</w:t>
            </w:r>
          </w:p>
        </w:tc>
        <w:tc>
          <w:tcPr>
            <w:tcW w:w="989" w:type="dxa"/>
            <w:tcBorders>
              <w:top w:val="single" w:color="CBCDD1" w:sz="0" w:space="0"/>
              <w:left w:val="single" w:color="9A9A9A"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530FD7A8">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Risk Level</w:t>
            </w:r>
          </w:p>
        </w:tc>
        <w:tc>
          <w:tcPr>
            <w:tcW w:w="3409" w:type="dxa"/>
            <w:tcBorders>
              <w:top w:val="single" w:color="CBCDD1" w:sz="0" w:space="0"/>
              <w:left w:val="single" w:color="9A9A9A" w:sz="0" w:space="0"/>
              <w:bottom w:val="single" w:color="CBCDD1" w:sz="0" w:space="0"/>
              <w:right w:val="single" w:color="CBCDD1" w:sz="0" w:space="0"/>
            </w:tcBorders>
            <w:shd w:val="clear" w:color="auto" w:fill="F2F2F2"/>
            <w:tcMar>
              <w:top w:w="180" w:type="dxa"/>
              <w:left w:w="270" w:type="dxa"/>
              <w:bottom w:w="180" w:type="dxa"/>
              <w:right w:w="270" w:type="dxa"/>
            </w:tcMar>
            <w:vAlign w:val="center"/>
          </w:tcPr>
          <w:p w14:paraId="6EAC5A80">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Handling Strategy Priority</w:t>
            </w:r>
          </w:p>
        </w:tc>
      </w:tr>
      <w:tr w14:paraId="6F3EAA54">
        <w:tc>
          <w:tcPr>
            <w:tcW w:w="2998"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779C4102">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Core Business(Databases/Clusters/Critical Production Systems)</w:t>
            </w:r>
          </w:p>
        </w:tc>
        <w:tc>
          <w:tcPr>
            <w:tcW w:w="1651"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1EB02C81">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Accurate Identification(Configuration/Features)</w:t>
            </w:r>
          </w:p>
        </w:tc>
        <w:tc>
          <w:tcPr>
            <w:tcW w:w="989"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7D82E82E">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High Risk</w:t>
            </w:r>
          </w:p>
        </w:tc>
        <w:tc>
          <w:tcPr>
            <w:tcW w:w="3409"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071EDD94">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P1 - Must ResolveStrategy: Proactively address or define clear avoidance plans in advance.</w:t>
            </w:r>
          </w:p>
        </w:tc>
      </w:tr>
      <w:tr w14:paraId="7827DBFB">
        <w:tc>
          <w:tcPr>
            <w:tcW w:w="2998"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6DC7E4FF">
            <w:pPr>
              <w:snapToGrid/>
              <w:spacing w:before="0" w:after="0" w:line="420" w:lineRule="auto"/>
              <w:jc w:val="left"/>
              <w:rPr>
                <w:rFonts w:hint="eastAsia" w:ascii="微软雅黑" w:hAnsi="微软雅黑" w:eastAsia="微软雅黑" w:cs="微软雅黑"/>
              </w:rPr>
            </w:pPr>
          </w:p>
        </w:tc>
        <w:tc>
          <w:tcPr>
            <w:tcW w:w="1651"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38A386DB">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Ambiguous Identification(Architecture/Identity)</w:t>
            </w:r>
          </w:p>
        </w:tc>
        <w:tc>
          <w:tcPr>
            <w:tcW w:w="989"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6F62A0B7">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High Risk</w:t>
            </w:r>
          </w:p>
        </w:tc>
        <w:tc>
          <w:tcPr>
            <w:tcW w:w="3409"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576D4FE4">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P1 - Focus on ConfirmationStrategy: Conduct detailed risk verification and resolution.</w:t>
            </w:r>
          </w:p>
        </w:tc>
      </w:tr>
      <w:tr w14:paraId="07B56A40">
        <w:tc>
          <w:tcPr>
            <w:tcW w:w="2998"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0B20E535">
            <w:pPr>
              <w:snapToGrid/>
              <w:spacing w:before="0" w:after="0" w:line="420" w:lineRule="auto"/>
              <w:jc w:val="left"/>
              <w:rPr>
                <w:rFonts w:hint="eastAsia" w:ascii="微软雅黑" w:hAnsi="微软雅黑" w:eastAsia="微软雅黑" w:cs="微软雅黑"/>
              </w:rPr>
            </w:pPr>
          </w:p>
        </w:tc>
        <w:tc>
          <w:tcPr>
            <w:tcW w:w="1651"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5A34E864">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Accurate Identification(Configuration/Features)</w:t>
            </w:r>
          </w:p>
        </w:tc>
        <w:tc>
          <w:tcPr>
            <w:tcW w:w="989"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3EE49352">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Medium Risk</w:t>
            </w:r>
          </w:p>
        </w:tc>
        <w:tc>
          <w:tcPr>
            <w:tcW w:w="3409"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1C22CDF9">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P0 - Focus on MonitoringStrategy: Conduct small-scale migration tests with acceptable risks; closely monitor for issues and prepare solutions.</w:t>
            </w:r>
          </w:p>
        </w:tc>
      </w:tr>
      <w:tr w14:paraId="2829D152">
        <w:tc>
          <w:tcPr>
            <w:tcW w:w="2998"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2C71ED4D">
            <w:pPr>
              <w:snapToGrid/>
              <w:spacing w:before="0" w:after="0" w:line="420" w:lineRule="auto"/>
              <w:jc w:val="left"/>
              <w:rPr>
                <w:rFonts w:hint="eastAsia" w:ascii="微软雅黑" w:hAnsi="微软雅黑" w:eastAsia="微软雅黑" w:cs="微软雅黑"/>
              </w:rPr>
            </w:pPr>
          </w:p>
        </w:tc>
        <w:tc>
          <w:tcPr>
            <w:tcW w:w="1651"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1CBAD0AC">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Ambiguous Identification(Architecture/Identity)</w:t>
            </w:r>
          </w:p>
        </w:tc>
        <w:tc>
          <w:tcPr>
            <w:tcW w:w="989"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1BAB6A83">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Medium Risk</w:t>
            </w:r>
          </w:p>
        </w:tc>
        <w:tc>
          <w:tcPr>
            <w:tcW w:w="3409"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683450E0">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P1 - Prioritize ConfirmationStrategy: Prioritize risk verification for VMs corresponding to core business concerns.</w:t>
            </w:r>
          </w:p>
        </w:tc>
      </w:tr>
      <w:tr w14:paraId="78A79B0D">
        <w:tc>
          <w:tcPr>
            <w:tcW w:w="2998"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50F3BDFE">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General Business(OA/Web/Development &amp; Testing)</w:t>
            </w:r>
          </w:p>
        </w:tc>
        <w:tc>
          <w:tcPr>
            <w:tcW w:w="1651"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6359AFEB">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Accurate Identification(Configuration/Features)</w:t>
            </w:r>
          </w:p>
        </w:tc>
        <w:tc>
          <w:tcPr>
            <w:tcW w:w="989"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291E11FC">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High Risk</w:t>
            </w:r>
          </w:p>
        </w:tc>
        <w:tc>
          <w:tcPr>
            <w:tcW w:w="3409"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56D2D2A8">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P1 - Focus on ResolutionStrategy: Define clear solutions in advance or agree on contingency plans with the application team.</w:t>
            </w:r>
          </w:p>
        </w:tc>
      </w:tr>
      <w:tr w14:paraId="557EC12C">
        <w:tc>
          <w:tcPr>
            <w:tcW w:w="2998"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064E4BFC">
            <w:pPr>
              <w:snapToGrid/>
              <w:spacing w:before="0" w:after="0" w:line="420" w:lineRule="auto"/>
              <w:jc w:val="left"/>
              <w:rPr>
                <w:rFonts w:hint="eastAsia" w:ascii="微软雅黑" w:hAnsi="微软雅黑" w:eastAsia="微软雅黑" w:cs="微软雅黑"/>
              </w:rPr>
            </w:pPr>
          </w:p>
        </w:tc>
        <w:tc>
          <w:tcPr>
            <w:tcW w:w="1651"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24C8C359">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Ambiguous Identification(Configuration/Features)</w:t>
            </w:r>
          </w:p>
        </w:tc>
        <w:tc>
          <w:tcPr>
            <w:tcW w:w="989"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45C3BC36">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High Risk</w:t>
            </w:r>
          </w:p>
        </w:tc>
        <w:tc>
          <w:tcPr>
            <w:tcW w:w="3409"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36B68E57">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P2 - Define Contingency PlansStrategy: Clarify solutions for potential risks; resolve quickly if triggered.</w:t>
            </w:r>
          </w:p>
        </w:tc>
      </w:tr>
      <w:tr w14:paraId="59BA0587">
        <w:tc>
          <w:tcPr>
            <w:tcW w:w="2998"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0736FE3B">
            <w:pPr>
              <w:snapToGrid/>
              <w:spacing w:before="0" w:after="0" w:line="420" w:lineRule="auto"/>
              <w:jc w:val="left"/>
              <w:rPr>
                <w:rFonts w:hint="eastAsia" w:ascii="微软雅黑" w:hAnsi="微软雅黑" w:eastAsia="微软雅黑" w:cs="微软雅黑"/>
              </w:rPr>
            </w:pPr>
          </w:p>
        </w:tc>
        <w:tc>
          <w:tcPr>
            <w:tcW w:w="1651"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516807B7">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All Dimensions</w:t>
            </w:r>
          </w:p>
        </w:tc>
        <w:tc>
          <w:tcPr>
            <w:tcW w:w="989"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46A57C09">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Medium Risk</w:t>
            </w:r>
          </w:p>
        </w:tc>
        <w:tc>
          <w:tcPr>
            <w:tcW w:w="3409"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306793D7">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P2 - Accept &amp; InformStrategy: Notify users of potential minor post-migration differences (e.g., slightly slower boot time), which typically require special technical handling.</w:t>
            </w:r>
          </w:p>
        </w:tc>
      </w:tr>
      <w:tr w14:paraId="046CF065">
        <w:tc>
          <w:tcPr>
            <w:tcW w:w="2998"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74708E4E">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Universal for All Businesses</w:t>
            </w:r>
          </w:p>
        </w:tc>
        <w:tc>
          <w:tcPr>
            <w:tcW w:w="1651"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31388537">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All Dimensions</w:t>
            </w:r>
          </w:p>
        </w:tc>
        <w:tc>
          <w:tcPr>
            <w:tcW w:w="989"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0379F5B4">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Low Risk</w:t>
            </w:r>
          </w:p>
        </w:tc>
        <w:tc>
          <w:tcPr>
            <w:tcW w:w="3409"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0ED5F533">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P3 - Minimal Attention RequiredStrategy: Risks do not affect business continuity; can be ignored or monitored based on business importance.</w:t>
            </w:r>
          </w:p>
        </w:tc>
      </w:tr>
    </w:tbl>
    <w:p w14:paraId="236017E3">
      <w:pPr>
        <w:pStyle w:val="4"/>
        <w:pBdr>
          <w:bottom w:val="single" w:color="auto" w:sz="2" w:space="0"/>
        </w:pBdr>
        <w:snapToGrid/>
        <w:spacing w:before="180" w:after="0" w:line="360" w:lineRule="auto"/>
        <w:ind w:left="0" w:right="0" w:firstLine="0"/>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shd w:val="clear" w:color="auto" w:fill="FFFFFF"/>
        </w:rPr>
        <w:t>Key Decision Logic Explanation (Decision Logic Summary)</w:t>
      </w:r>
    </w:p>
    <w:p w14:paraId="3946086B">
      <w:pPr>
        <w:numPr>
          <w:ilvl w:val="0"/>
          <w:numId w:val="1"/>
        </w:numPr>
        <w:pBdr>
          <w:bottom w:val="single" w:color="auto" w:sz="2" w:space="0"/>
        </w:pBdr>
        <w:snapToGrid/>
        <w:spacing w:before="120" w:after="120" w:line="360" w:lineRule="auto"/>
        <w:rPr>
          <w:rFonts w:hint="eastAsia" w:ascii="微软雅黑" w:hAnsi="微软雅黑" w:eastAsia="微软雅黑" w:cs="微软雅黑"/>
        </w:rPr>
      </w:pPr>
      <w:r>
        <w:rPr>
          <w:rFonts w:hint="eastAsia" w:ascii="微软雅黑" w:hAnsi="微软雅黑" w:eastAsia="微软雅黑" w:cs="微软雅黑"/>
          <w:b/>
          <w:i w:val="0"/>
          <w:strike w:val="0"/>
          <w:color w:val="auto"/>
          <w:spacing w:val="0"/>
          <w:sz w:val="24"/>
          <w:u w:val="none"/>
          <w:shd w:val="clear" w:color="auto" w:fill="FFFFFF"/>
        </w:rPr>
        <w:t>Escalated Management for Core Business</w:t>
      </w:r>
      <w:r>
        <w:rPr>
          <w:rFonts w:hint="eastAsia" w:ascii="微软雅黑" w:hAnsi="微软雅黑" w:eastAsia="微软雅黑" w:cs="微软雅黑"/>
          <w:i w:val="0"/>
          <w:strike w:val="0"/>
          <w:color w:val="000000"/>
          <w:spacing w:val="0"/>
          <w:sz w:val="24"/>
          <w:u w:val="none"/>
          <w:shd w:val="clear" w:color="auto" w:fill="FFFFFF"/>
        </w:rPr>
        <w:t>: For core business (P1 level), even if the tool rates risks as "medium," any issues involving data consistency or uncertainty must be unconditionally upgraded to "high risk." Avoid high-risk full-machine hot migration; prioritize more reliable application-level solutions.</w:t>
      </w:r>
    </w:p>
    <w:p w14:paraId="70954383">
      <w:pPr>
        <w:numPr>
          <w:ilvl w:val="0"/>
          <w:numId w:val="1"/>
        </w:numPr>
        <w:pBdr>
          <w:bottom w:val="single" w:color="auto" w:sz="2" w:space="0"/>
        </w:pBdr>
        <w:snapToGrid/>
        <w:spacing w:before="120" w:after="120" w:line="360" w:lineRule="auto"/>
        <w:rPr>
          <w:rFonts w:hint="eastAsia" w:ascii="微软雅黑" w:hAnsi="微软雅黑" w:eastAsia="微软雅黑" w:cs="微软雅黑"/>
        </w:rPr>
      </w:pPr>
      <w:r>
        <w:rPr>
          <w:rFonts w:hint="eastAsia" w:ascii="微软雅黑" w:hAnsi="微软雅黑" w:eastAsia="微软雅黑" w:cs="微软雅黑"/>
          <w:b/>
          <w:i w:val="0"/>
          <w:strike w:val="0"/>
          <w:color w:val="auto"/>
          <w:spacing w:val="0"/>
          <w:sz w:val="24"/>
          <w:u w:val="none"/>
          <w:shd w:val="clear" w:color="auto" w:fill="FFFFFF"/>
        </w:rPr>
        <w:t>Manual Confirmation as a Safeguard for Suspected Risks</w:t>
      </w:r>
      <w:r>
        <w:rPr>
          <w:rFonts w:hint="eastAsia" w:ascii="微软雅黑" w:hAnsi="微软雅黑" w:eastAsia="微软雅黑" w:cs="微软雅黑"/>
          <w:i w:val="0"/>
          <w:strike w:val="0"/>
          <w:color w:val="000000"/>
          <w:spacing w:val="0"/>
          <w:sz w:val="24"/>
          <w:u w:val="none"/>
          <w:shd w:val="clear" w:color="auto" w:fill="FFFFFF"/>
        </w:rPr>
        <w:t>: For ambiguous identification of core business (P0 level), adhere to the red line principle of "prefer false positives over false negatives." All "suspected issues" flagged by the tool require manual confirmation to "draw a true conclusion" (thoroughly verify authenticity). VMs cannot be scheduled for migration until all doubts are resolved.</w:t>
      </w:r>
    </w:p>
    <w:p w14:paraId="3EE5A20A">
      <w:pPr>
        <w:numPr>
          <w:ilvl w:val="0"/>
          <w:numId w:val="1"/>
        </w:numPr>
        <w:pBdr>
          <w:bottom w:val="single" w:color="auto" w:sz="2" w:space="0"/>
        </w:pBdr>
        <w:snapToGrid/>
        <w:spacing w:before="120" w:after="120" w:line="360" w:lineRule="auto"/>
        <w:rPr>
          <w:rFonts w:hint="eastAsia" w:ascii="微软雅黑" w:hAnsi="微软雅黑" w:eastAsia="微软雅黑" w:cs="微软雅黑"/>
        </w:rPr>
      </w:pPr>
      <w:r>
        <w:rPr>
          <w:rFonts w:hint="eastAsia" w:ascii="微软雅黑" w:hAnsi="微软雅黑" w:eastAsia="微软雅黑" w:cs="微软雅黑"/>
          <w:b/>
          <w:i w:val="0"/>
          <w:strike w:val="0"/>
          <w:color w:val="auto"/>
          <w:spacing w:val="0"/>
          <w:sz w:val="24"/>
          <w:u w:val="none"/>
          <w:shd w:val="clear" w:color="auto" w:fill="FFFFFF"/>
        </w:rPr>
        <w:t>Efficiency Priority for General Business</w:t>
      </w:r>
      <w:r>
        <w:rPr>
          <w:rFonts w:hint="eastAsia" w:ascii="微软雅黑" w:hAnsi="微软雅黑" w:eastAsia="微软雅黑" w:cs="微软雅黑"/>
          <w:i w:val="0"/>
          <w:strike w:val="0"/>
          <w:color w:val="000000"/>
          <w:spacing w:val="0"/>
          <w:sz w:val="24"/>
          <w:u w:val="none"/>
          <w:shd w:val="clear" w:color="auto" w:fill="FFFFFF"/>
        </w:rPr>
        <w:t>: For non-critical general business, adopt a proactive strategy. For medium-low risk items, implement the "migrate first, adjust later" approach, leveraging VM snapshots/rollback mechanisms to improve overall project migration efficiency.</w:t>
      </w:r>
    </w:p>
    <w:p w14:paraId="5AA23FA0">
      <w:pPr>
        <w:pBdr>
          <w:bottom w:val="single" w:color="1C1F23" w:sz="8" w:space="0"/>
        </w:pBdr>
        <w:ind w:left="0"/>
        <w:rPr>
          <w:rFonts w:hint="eastAsia" w:ascii="微软雅黑" w:hAnsi="微软雅黑" w:eastAsia="微软雅黑" w:cs="微软雅黑"/>
        </w:rPr>
      </w:pPr>
    </w:p>
    <w:p w14:paraId="3B951937">
      <w:pPr>
        <w:pStyle w:val="3"/>
        <w:pBdr>
          <w:bottom w:val="single" w:color="auto" w:sz="2" w:space="0"/>
        </w:pBdr>
        <w:snapToGrid/>
        <w:spacing w:before="203" w:after="0" w:line="360" w:lineRule="auto"/>
        <w:ind w:left="0" w:right="0" w:firstLine="0"/>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7"/>
          <w:u w:val="none"/>
          <w:shd w:val="clear" w:color="auto" w:fill="FFFFFF"/>
        </w:rPr>
        <w:t>2.3 Final Migration Method Confirmation (Strategy &amp; Changes)</w:t>
      </w:r>
    </w:p>
    <w:p w14:paraId="47368151">
      <w:pPr>
        <w:pBdr>
          <w:bottom w:val="single" w:color="auto" w:sz="2" w:space="0"/>
        </w:pBdr>
        <w:snapToGrid/>
        <w:spacing w:line="360" w:lineRule="auto"/>
        <w:ind w:left="0" w:firstLine="0"/>
        <w:rPr>
          <w:rFonts w:hint="eastAsia" w:ascii="微软雅黑" w:hAnsi="微软雅黑" w:eastAsia="微软雅黑" w:cs="微软雅黑"/>
        </w:rPr>
      </w:pPr>
      <w:r>
        <w:rPr>
          <w:rFonts w:hint="eastAsia" w:ascii="微软雅黑" w:hAnsi="微软雅黑" w:eastAsia="微软雅黑" w:cs="微软雅黑"/>
          <w:b/>
          <w:i w:val="0"/>
          <w:strike w:val="0"/>
          <w:color w:val="auto"/>
          <w:spacing w:val="0"/>
          <w:sz w:val="24"/>
          <w:u w:val="none"/>
          <w:shd w:val="clear" w:color="auto" w:fill="FFFFFF"/>
        </w:rPr>
        <w:t>Scenario</w:t>
      </w:r>
      <w:r>
        <w:rPr>
          <w:rFonts w:hint="eastAsia" w:ascii="微软雅黑" w:hAnsi="微软雅黑" w:eastAsia="微软雅黑" w:cs="微软雅黑"/>
          <w:i w:val="0"/>
          <w:strike w:val="0"/>
          <w:color w:val="000000"/>
          <w:spacing w:val="0"/>
          <w:sz w:val="24"/>
          <w:u w:val="none"/>
          <w:shd w:val="clear" w:color="auto" w:fill="FFFFFF"/>
        </w:rPr>
        <w:t>: After resolving technical issues, determine "how to migrate" and "how to switch."</w:t>
      </w:r>
      <w:r>
        <w:rPr>
          <w:rFonts w:hint="eastAsia" w:ascii="微软雅黑" w:hAnsi="微软雅黑" w:eastAsia="微软雅黑" w:cs="微软雅黑"/>
          <w:b/>
          <w:i w:val="0"/>
          <w:strike w:val="0"/>
          <w:color w:val="auto"/>
          <w:spacing w:val="0"/>
          <w:sz w:val="24"/>
          <w:u w:val="none"/>
          <w:shd w:val="clear" w:color="auto" w:fill="FFFFFF"/>
        </w:rPr>
        <w:t>Reference</w:t>
      </w:r>
      <w:r>
        <w:rPr>
          <w:rFonts w:hint="eastAsia" w:ascii="微软雅黑" w:hAnsi="微软雅黑" w:eastAsia="微软雅黑" w:cs="微软雅黑"/>
          <w:i w:val="0"/>
          <w:strike w:val="0"/>
          <w:color w:val="000000"/>
          <w:spacing w:val="0"/>
          <w:sz w:val="24"/>
          <w:u w:val="none"/>
          <w:shd w:val="clear" w:color="auto" w:fill="FFFFFF"/>
        </w:rPr>
        <w:t>: Migration Method Evaluation Details vs. Actual Environment</w:t>
      </w:r>
    </w:p>
    <w:tbl>
      <w:tblPr>
        <w:tblStyle w:val="9"/>
        <w:tblW w:w="0" w:type="auto"/>
        <w:tblInd w:w="0" w:type="dxa"/>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Layout w:type="fixed"/>
        <w:tblCellMar>
          <w:top w:w="0" w:type="dxa"/>
          <w:left w:w="108" w:type="dxa"/>
          <w:bottom w:w="0" w:type="dxa"/>
          <w:right w:w="108" w:type="dxa"/>
        </w:tblCellMar>
      </w:tblPr>
      <w:tblGrid>
        <w:gridCol w:w="1828"/>
        <w:gridCol w:w="3609"/>
        <w:gridCol w:w="3609"/>
      </w:tblGrid>
      <w:tr w14:paraId="077B3A23">
        <w:tc>
          <w:tcPr>
            <w:tcW w:w="1828" w:type="dxa"/>
            <w:tcBorders>
              <w:top w:val="single" w:color="CBCDD1" w:sz="0" w:space="0"/>
              <w:left w:val="single" w:color="CBCDD1"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2417EF05">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Consideration Dimension</w:t>
            </w:r>
          </w:p>
        </w:tc>
        <w:tc>
          <w:tcPr>
            <w:tcW w:w="3609" w:type="dxa"/>
            <w:tcBorders>
              <w:top w:val="single" w:color="CBCDD1" w:sz="0" w:space="0"/>
              <w:left w:val="single" w:color="9A9A9A"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4E67E44B">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Decision Checkpoints (Checklist)</w:t>
            </w:r>
          </w:p>
        </w:tc>
        <w:tc>
          <w:tcPr>
            <w:tcW w:w="3609" w:type="dxa"/>
            <w:tcBorders>
              <w:top w:val="single" w:color="CBCDD1" w:sz="0" w:space="0"/>
              <w:left w:val="single" w:color="9A9A9A" w:sz="0" w:space="0"/>
              <w:bottom w:val="single" w:color="CBCDD1" w:sz="0" w:space="0"/>
              <w:right w:val="single" w:color="CBCDD1" w:sz="0" w:space="0"/>
            </w:tcBorders>
            <w:shd w:val="clear" w:color="auto" w:fill="F2F2F2"/>
            <w:tcMar>
              <w:top w:w="180" w:type="dxa"/>
              <w:left w:w="270" w:type="dxa"/>
              <w:bottom w:w="180" w:type="dxa"/>
              <w:right w:w="270" w:type="dxa"/>
            </w:tcMar>
            <w:vAlign w:val="center"/>
          </w:tcPr>
          <w:p w14:paraId="6299E5E0">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Adjustment &amp; Final Action</w:t>
            </w:r>
          </w:p>
        </w:tc>
      </w:tr>
      <w:tr w14:paraId="4BA06D80">
        <w:tc>
          <w:tcPr>
            <w:tcW w:w="1828"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2F6065C6">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Network Environment</w:t>
            </w:r>
          </w:p>
        </w:tc>
        <w:tc>
          <w:tcPr>
            <w:tcW w:w="3609"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17570882">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Tool recommends "SCMT Point-to-Point Migration," but source and target ends are unreachable?</w:t>
            </w:r>
          </w:p>
        </w:tc>
        <w:tc>
          <w:tcPr>
            <w:tcW w:w="3609"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12CEE244">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Change to: SCMT Backup Migration.</w:t>
            </w:r>
          </w:p>
        </w:tc>
      </w:tr>
      <w:tr w14:paraId="467F00CE">
        <w:tc>
          <w:tcPr>
            <w:tcW w:w="1828"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2AED775E">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Security Red Lines</w:t>
            </w:r>
          </w:p>
        </w:tc>
        <w:tc>
          <w:tcPr>
            <w:tcW w:w="3609"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7EF56C13">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Tool recommends "SCMT Point-to-Point Migration (Agent)," but the customer prohibits installing third-party software?</w:t>
            </w:r>
          </w:p>
        </w:tc>
        <w:tc>
          <w:tcPr>
            <w:tcW w:w="3609"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45819783">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Change to: Agentless Migration (requires vCenter account permissions) or Image Import.</w:t>
            </w:r>
          </w:p>
        </w:tc>
      </w:tr>
      <w:tr w14:paraId="70705BF2">
        <w:tc>
          <w:tcPr>
            <w:tcW w:w="1828"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7B024C77">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Data Consistency</w:t>
            </w:r>
          </w:p>
        </w:tc>
        <w:tc>
          <w:tcPr>
            <w:tcW w:w="3609"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7BE79D54">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Tool recommends "SCMT," but the VM is a core transaction database involving database modifications?</w:t>
            </w:r>
          </w:p>
        </w:tc>
        <w:tc>
          <w:tcPr>
            <w:tcW w:w="3609"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06295F6F">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Change to: Database-Level Migration(Note: For core databases, application-layer synchronization is safer and faster than full-machine migration; prioritized recommendation)</w:t>
            </w:r>
          </w:p>
        </w:tc>
      </w:tr>
    </w:tbl>
    <w:p w14:paraId="1F04418C">
      <w:pPr>
        <w:pStyle w:val="4"/>
        <w:pBdr>
          <w:bottom w:val="single" w:color="auto" w:sz="2" w:space="0"/>
        </w:pBdr>
        <w:snapToGrid/>
        <w:spacing w:before="180" w:after="0" w:line="360" w:lineRule="auto"/>
        <w:ind w:left="0" w:right="0" w:firstLine="0"/>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shd w:val="clear" w:color="auto" w:fill="FFFFFF"/>
        </w:rPr>
        <w:t>2.3.1 Full Migration Method Matching Rules Table (Sorted by Priority)</w:t>
      </w:r>
    </w:p>
    <w:p w14:paraId="4743FE29">
      <w:pPr>
        <w:pStyle w:val="5"/>
        <w:pBdr>
          <w:bottom w:val="single" w:color="auto" w:sz="2" w:space="0"/>
        </w:pBdr>
        <w:snapToGrid/>
        <w:spacing w:before="0" w:after="0" w:line="360" w:lineRule="auto"/>
        <w:ind w:left="0" w:right="0" w:firstLine="0"/>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shd w:val="clear" w:color="auto" w:fill="FFFFFF"/>
        </w:rPr>
        <w:t>Migration Method Mutual Selection Explanation</w:t>
      </w:r>
    </w:p>
    <w:p w14:paraId="0FCB6B86">
      <w:pPr>
        <w:pBdr>
          <w:bottom w:val="single" w:color="auto" w:sz="2" w:space="0"/>
        </w:pBdr>
        <w:snapToGrid/>
        <w:spacing w:line="360" w:lineRule="auto"/>
        <w:ind w:left="0" w:firstLine="0"/>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Migration method matching in this table is automatically recommended based on preset hard conditions. Flexible adjustments are allowed but must comply with compatibility rules:</w:t>
      </w:r>
    </w:p>
    <w:p w14:paraId="5EED6DE9">
      <w:pPr>
        <w:numPr>
          <w:ilvl w:val="0"/>
          <w:numId w:val="2"/>
        </w:numPr>
        <w:pBdr>
          <w:bottom w:val="none" w:color="auto" w:sz="0" w:space="0"/>
        </w:pBdr>
        <w:snapToGrid/>
        <w:spacing w:before="120" w:after="120" w:line="360" w:lineRule="auto"/>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The tool will display all migration methods compatible with the virtual machine (including HCI Managed Migration, SCMT series migration methods, etc.). Among them, the OS compatibility of SCMT series migration methods (Point-to-Point/Backup/Hot Standby) can be quickly customized and adapted. Based on the virtual machine’s specific configurations and business scenario requirements (such as configuration adjustment needs, downtime tolerance, etc.), the tool will mark one most efficient and suitable recommended option from all compatible migration methods to provide reference for users' decision-making.</w:t>
      </w:r>
    </w:p>
    <w:p w14:paraId="3FCC10AA">
      <w:pPr>
        <w:numPr>
          <w:ilvl w:val="0"/>
          <w:numId w:val="2"/>
        </w:numPr>
        <w:pBdr>
          <w:bottom w:val="single" w:color="auto" w:sz="2" w:space="0"/>
        </w:pBdr>
        <w:snapToGrid/>
        <w:spacing w:before="120" w:after="120" w:line="360" w:lineRule="auto"/>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For virtual machines matched with Database Migration or AD Domain Controller Backup &amp; Recovery Migration, it is not recommended to switch to other migration methods. The tool recommends these two types of migration methods essentially because the virtual machine meets their exclusive hard technical requirements (e.g., database clusters require data consistency guarantees, AD domain controllers need to retain the SID identifier). Forced switching will cause migration failure due to incompatibility, data risks, or environment crashes.</w:t>
      </w:r>
    </w:p>
    <w:tbl>
      <w:tblPr>
        <w:tblStyle w:val="9"/>
        <w:tblW w:w="0" w:type="auto"/>
        <w:tblInd w:w="0" w:type="dxa"/>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Layout w:type="fixed"/>
        <w:tblCellMar>
          <w:top w:w="0" w:type="dxa"/>
          <w:left w:w="108" w:type="dxa"/>
          <w:bottom w:w="0" w:type="dxa"/>
          <w:right w:w="108" w:type="dxa"/>
        </w:tblCellMar>
      </w:tblPr>
      <w:tblGrid>
        <w:gridCol w:w="2119"/>
        <w:gridCol w:w="2310"/>
        <w:gridCol w:w="2310"/>
        <w:gridCol w:w="2310"/>
      </w:tblGrid>
      <w:tr w14:paraId="4BDC500C">
        <w:tc>
          <w:tcPr>
            <w:tcW w:w="2119" w:type="dxa"/>
            <w:tcBorders>
              <w:top w:val="single" w:color="CBCDD1" w:sz="0" w:space="0"/>
              <w:left w:val="single" w:color="CBCDD1"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41D7E0A6">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Recommended Migration Method</w:t>
            </w:r>
          </w:p>
        </w:tc>
        <w:tc>
          <w:tcPr>
            <w:tcW w:w="2310" w:type="dxa"/>
            <w:tcBorders>
              <w:top w:val="single" w:color="CBCDD1" w:sz="0" w:space="0"/>
              <w:left w:val="single" w:color="9A9A9A"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3DF6B8A4">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Application Scenario</w:t>
            </w:r>
          </w:p>
        </w:tc>
        <w:tc>
          <w:tcPr>
            <w:tcW w:w="2310" w:type="dxa"/>
            <w:tcBorders>
              <w:top w:val="single" w:color="CBCDD1" w:sz="0" w:space="0"/>
              <w:left w:val="single" w:color="9A9A9A"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0488D64A">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Core Matching Conditions</w:t>
            </w:r>
          </w:p>
        </w:tc>
        <w:tc>
          <w:tcPr>
            <w:tcW w:w="2310" w:type="dxa"/>
            <w:tcBorders>
              <w:top w:val="single" w:color="CBCDD1" w:sz="0" w:space="0"/>
              <w:left w:val="single" w:color="9A9A9A" w:sz="0" w:space="0"/>
              <w:bottom w:val="single" w:color="CBCDD1" w:sz="0" w:space="0"/>
              <w:right w:val="single" w:color="CBCDD1" w:sz="0" w:space="0"/>
            </w:tcBorders>
            <w:shd w:val="clear" w:color="auto" w:fill="F2F2F2"/>
            <w:tcMar>
              <w:top w:w="180" w:type="dxa"/>
              <w:left w:w="270" w:type="dxa"/>
              <w:bottom w:w="180" w:type="dxa"/>
              <w:right w:w="270" w:type="dxa"/>
            </w:tcMar>
            <w:vAlign w:val="center"/>
          </w:tcPr>
          <w:p w14:paraId="3BC217C6">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Adaptation Reason</w:t>
            </w:r>
          </w:p>
        </w:tc>
      </w:tr>
      <w:tr w14:paraId="42F84CE1">
        <w:tc>
          <w:tcPr>
            <w:tcW w:w="2119"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3DC0C784">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Database Migration</w:t>
            </w:r>
          </w:p>
        </w:tc>
        <w:tc>
          <w:tcPr>
            <w:tcW w:w="2310"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0EE99163">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Database clusters or non-standalone database business</w:t>
            </w:r>
          </w:p>
        </w:tc>
        <w:tc>
          <w:tcPr>
            <w:tcW w:w="2310"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01102315">
            <w:pPr>
              <w:numPr>
                <w:ilvl w:val="0"/>
                <w:numId w:val="3"/>
              </w:numPr>
              <w:pBdr>
                <w:bottom w:val="single" w:color="auto" w:sz="2" w:space="0"/>
              </w:pBdr>
              <w:snapToGrid/>
              <w:spacing w:before="120" w:after="120" w:line="36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Matches database/cluster-related identification keywords;</w:t>
            </w:r>
          </w:p>
          <w:p w14:paraId="234D3E91">
            <w:pPr>
              <w:numPr>
                <w:ilvl w:val="0"/>
                <w:numId w:val="3"/>
              </w:numPr>
              <w:pBdr>
                <w:bottom w:val="single" w:color="auto" w:sz="2" w:space="0"/>
              </w:pBdr>
              <w:snapToGrid/>
              <w:spacing w:before="120" w:after="120" w:line="36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Or meets the following conditions simultaneously:Judgment Premise: The VM name matches database-related keywords + any of the following strong features is detected.Storage Features (Extremely High Confidence):Disk has multi-writer mode enabled;</w:t>
            </w:r>
          </w:p>
          <w:p w14:paraId="42DAAFD0">
            <w:pPr>
              <w:numPr>
                <w:ilvl w:val="2"/>
                <w:numId w:val="3"/>
              </w:numPr>
              <w:pBdr>
                <w:bottom w:val="single" w:color="auto" w:sz="2" w:space="0"/>
              </w:pBdr>
              <w:snapToGrid/>
              <w:spacing w:before="120" w:after="120" w:line="36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SCSI controller has Physical/Virtual sharing enabled;</w:t>
            </w:r>
          </w:p>
          <w:p w14:paraId="189C2AC2">
            <w:pPr>
              <w:numPr>
                <w:ilvl w:val="2"/>
                <w:numId w:val="3"/>
              </w:numPr>
              <w:pBdr>
                <w:bottom w:val="single" w:color="auto" w:sz="2" w:space="0"/>
              </w:pBdr>
              <w:snapToGrid/>
              <w:spacing w:before="120" w:after="120" w:line="36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Mounted RDM disk (especially pRDM);</w:t>
            </w:r>
          </w:p>
          <w:p w14:paraId="40B89AFE">
            <w:pPr>
              <w:numPr>
                <w:ilvl w:val="2"/>
                <w:numId w:val="3"/>
              </w:numPr>
              <w:pBdr>
                <w:bottom w:val="single" w:color="auto" w:sz="2" w:space="0"/>
              </w:pBdr>
              <w:snapToGrid/>
              <w:spacing w:before="120" w:after="120" w:line="36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Disk is in Independent-Persistent mode.</w:t>
            </w:r>
          </w:p>
          <w:p w14:paraId="54E2ACFA">
            <w:pPr>
              <w:ind w:left="0"/>
              <w:rPr>
                <w:rFonts w:hint="eastAsia" w:ascii="微软雅黑" w:hAnsi="微软雅黑" w:eastAsia="微软雅黑" w:cs="微软雅黑"/>
              </w:rPr>
            </w:pPr>
          </w:p>
          <w:p w14:paraId="0D8632EF">
            <w:pPr>
              <w:numPr>
                <w:ilvl w:val="1"/>
                <w:numId w:val="3"/>
              </w:numPr>
              <w:pBdr>
                <w:bottom w:val="single" w:color="auto" w:sz="2" w:space="0"/>
              </w:pBdr>
              <w:snapToGrid/>
              <w:spacing w:before="120" w:after="120" w:line="36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Compute Features (Extremely High Confidence):Configured with VMware DRS anti-affinity rule.</w:t>
            </w:r>
          </w:p>
          <w:p w14:paraId="7313A293">
            <w:pPr>
              <w:ind w:left="0"/>
              <w:rPr>
                <w:rFonts w:hint="eastAsia" w:ascii="微软雅黑" w:hAnsi="微软雅黑" w:eastAsia="微软雅黑" w:cs="微软雅黑"/>
              </w:rPr>
            </w:pPr>
          </w:p>
          <w:p w14:paraId="344337B3">
            <w:pPr>
              <w:numPr>
                <w:ilvl w:val="1"/>
                <w:numId w:val="3"/>
              </w:numPr>
              <w:pBdr>
                <w:bottom w:val="single" w:color="auto" w:sz="2" w:space="0"/>
              </w:pBdr>
              <w:snapToGrid/>
              <w:spacing w:before="120" w:after="120" w:line="36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Metadata Features (High Confidence):Remarks contain keywords such as RAC/Cluster/VIP/Node.</w:t>
            </w:r>
          </w:p>
          <w:p w14:paraId="28AF5733">
            <w:pPr>
              <w:ind w:left="0"/>
              <w:rPr>
                <w:rFonts w:hint="eastAsia" w:ascii="微软雅黑" w:hAnsi="微软雅黑" w:eastAsia="微软雅黑" w:cs="微软雅黑"/>
              </w:rPr>
            </w:pPr>
          </w:p>
          <w:p w14:paraId="15DAB2C0">
            <w:pPr>
              <w:numPr>
                <w:ilvl w:val="1"/>
                <w:numId w:val="3"/>
              </w:numPr>
              <w:pBdr>
                <w:bottom w:val="single" w:color="auto" w:sz="2" w:space="0"/>
              </w:pBdr>
              <w:snapToGrid/>
              <w:spacing w:before="120" w:after="120" w:line="36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Network Features (Auxiliary):Configured with ≥2 virtual network cards.</w:t>
            </w:r>
          </w:p>
          <w:p w14:paraId="5C225D93">
            <w:pPr>
              <w:ind w:left="0"/>
              <w:rPr>
                <w:rFonts w:hint="eastAsia" w:ascii="微软雅黑" w:hAnsi="微软雅黑" w:eastAsia="微软雅黑" w:cs="微软雅黑"/>
              </w:rPr>
            </w:pPr>
          </w:p>
          <w:p w14:paraId="1B8C9F4B">
            <w:pPr>
              <w:ind w:left="0"/>
              <w:rPr>
                <w:rFonts w:hint="eastAsia" w:ascii="微软雅黑" w:hAnsi="微软雅黑" w:eastAsia="微软雅黑" w:cs="微软雅黑"/>
              </w:rPr>
            </w:pPr>
          </w:p>
          <w:p w14:paraId="5F4527B6">
            <w:pPr>
              <w:snapToGrid/>
              <w:spacing w:before="0" w:after="0" w:line="420" w:lineRule="auto"/>
              <w:jc w:val="left"/>
              <w:rPr>
                <w:rFonts w:hint="eastAsia" w:ascii="微软雅黑" w:hAnsi="微软雅黑" w:eastAsia="微软雅黑" w:cs="微软雅黑"/>
              </w:rPr>
            </w:pPr>
          </w:p>
        </w:tc>
        <w:tc>
          <w:tcPr>
            <w:tcW w:w="2310"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28097C33">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Identified as a database cluster/non-standalone business with shared disks and multi-node deployment. VM-level migration cannot guarantee data consistency for clustered databases (e.g., master-slave synchronization, transaction log integrity), which may cause post-migration database startup failures. Database migration services ensure cluster compatibility and data integrity through dedicated synchronization mechanisms, hence prioritized recommendation.</w:t>
            </w:r>
          </w:p>
        </w:tc>
      </w:tr>
      <w:tr w14:paraId="3C7B1876">
        <w:tc>
          <w:tcPr>
            <w:tcW w:w="2119"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045A5AEA">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AD Domain Controller Backup &amp; Recovery Migration</w:t>
            </w:r>
          </w:p>
        </w:tc>
        <w:tc>
          <w:tcPr>
            <w:tcW w:w="2310"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53F82AE7">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AD domain controller VMs (including domain controller-related business)</w:t>
            </w:r>
          </w:p>
        </w:tc>
        <w:tc>
          <w:tcPr>
            <w:tcW w:w="2310"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7FA20D9C">
            <w:pPr>
              <w:pBdr>
                <w:bottom w:val="single" w:color="auto" w:sz="2" w:space="0"/>
              </w:pBdr>
              <w:snapToGrid/>
              <w:spacing w:line="360" w:lineRule="auto"/>
              <w:ind w:firstLine="0"/>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1. VM name contains keywords (AD Domain, AD Domain Controller, Domain Controller, DC; case-insensitive); 2.</w:t>
            </w:r>
            <w:r>
              <w:rPr>
                <w:rFonts w:hint="eastAsia" w:ascii="微软雅黑" w:hAnsi="微软雅黑" w:eastAsia="微软雅黑" w:cs="微软雅黑"/>
                <w:i w:val="0"/>
                <w:strike w:val="0"/>
                <w:color w:val="000000"/>
                <w:spacing w:val="0"/>
                <w:sz w:val="24"/>
                <w:u w:val="none"/>
                <w:shd w:val="clear" w:color="auto" w:fill="FFFFFF"/>
              </w:rPr>
              <w:t>Preferred DNS Server IP = Local Machine IP (or 127.0.0.1) - Auxiliary Condition</w:t>
            </w:r>
          </w:p>
          <w:p w14:paraId="7A3F0CED">
            <w:pPr>
              <w:snapToGrid/>
              <w:spacing w:line="240" w:lineRule="auto"/>
              <w:rPr>
                <w:rFonts w:hint="eastAsia" w:ascii="微软雅黑" w:hAnsi="微软雅黑" w:eastAsia="微软雅黑" w:cs="微软雅黑"/>
              </w:rPr>
            </w:pPr>
          </w:p>
          <w:p w14:paraId="17A67AE3">
            <w:pPr>
              <w:snapToGrid/>
              <w:spacing w:before="0" w:after="0" w:line="420" w:lineRule="auto"/>
              <w:jc w:val="left"/>
              <w:rPr>
                <w:rFonts w:hint="eastAsia" w:ascii="微软雅黑" w:hAnsi="微软雅黑" w:eastAsia="微软雅黑" w:cs="微软雅黑"/>
              </w:rPr>
            </w:pPr>
          </w:p>
        </w:tc>
        <w:tc>
          <w:tcPr>
            <w:tcW w:w="2310"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5789C7E1">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Identified as a core AD domain controller business. As the core of identity authentication and permission management, VM-level migration will change critical identifiers such as the VM’s SID, breaking the trust relationship between the domain controller and domain-joined computers and causing post-migration startup failures. Backup &amp; recovery migration fully retains domain controller configurations, user data, and SID identifiers to avoid domain environment crashes.</w:t>
            </w:r>
          </w:p>
        </w:tc>
      </w:tr>
      <w:tr w14:paraId="6AD17D9C">
        <w:tc>
          <w:tcPr>
            <w:tcW w:w="2119"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27486232">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HCI Managed Migration</w:t>
            </w:r>
          </w:p>
        </w:tc>
        <w:tc>
          <w:tcPr>
            <w:tcW w:w="2310"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4CC6BEA5">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Standard VMware VMs (no special configurations)</w:t>
            </w:r>
          </w:p>
        </w:tc>
        <w:tc>
          <w:tcPr>
            <w:tcW w:w="2310"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236A95F2">
            <w:pPr>
              <w:snapToGrid/>
              <w:spacing w:before="0" w:after="0" w:line="420" w:lineRule="auto"/>
              <w:jc w:val="left"/>
              <w:rPr>
                <w:rFonts w:hint="eastAsia" w:ascii="微软雅黑" w:hAnsi="微软雅黑" w:eastAsia="微软雅黑" w:cs="微软雅黑"/>
                <w:i w:val="0"/>
                <w:strike w:val="0"/>
                <w:color w:val="000000"/>
                <w:spacing w:val="0"/>
                <w:sz w:val="24"/>
                <w:u w:val="none"/>
              </w:rPr>
            </w:pPr>
            <w:r>
              <w:rPr>
                <w:rFonts w:hint="eastAsia" w:ascii="微软雅黑" w:hAnsi="微软雅黑" w:eastAsia="微软雅黑" w:cs="微软雅黑"/>
                <w:i w:val="0"/>
                <w:strike w:val="0"/>
                <w:color w:val="000000"/>
                <w:spacing w:val="0"/>
                <w:sz w:val="24"/>
                <w:u w:val="none"/>
              </w:rPr>
              <w:t>1. Allowable business interruption time ≥ 10 minutes; 2. Compatible VMware vCenter versions (5.5/6.0/6.5/6.7/7.0.1/7.0.2/8.0); 3. No independent/pass-through/RDM disks/</w:t>
            </w:r>
          </w:p>
          <w:p w14:paraId="44FAEE6B">
            <w:pPr>
              <w:numPr>
                <w:ilvl w:val="0"/>
                <w:numId w:val="4"/>
              </w:numPr>
              <w:pBdr>
                <w:bottom w:val="single" w:color="auto" w:sz="2" w:space="0"/>
              </w:pBdr>
              <w:snapToGrid/>
              <w:spacing w:before="120" w:after="120" w:line="36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SR-IOV (Single Root I/O Virtualization) passthrough-type network card</w:t>
            </w:r>
          </w:p>
          <w:p w14:paraId="4A2DEF7D">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 xml:space="preserve">; 4. All disks are </w:t>
            </w:r>
            <w:r>
              <w:rPr>
                <w:rFonts w:hint="eastAsia" w:ascii="微软雅黑" w:hAnsi="微软雅黑" w:eastAsia="微软雅黑" w:cs="微软雅黑"/>
                <w:i w:val="0"/>
                <w:strike w:val="0"/>
                <w:color w:val="000000"/>
                <w:spacing w:val="0"/>
                <w:sz w:val="24"/>
                <w:u w:val="none"/>
                <w:shd w:val="clear" w:color="auto" w:fill="FFFFFF"/>
              </w:rPr>
              <w:t>Virtual disks</w:t>
            </w:r>
            <w:r>
              <w:rPr>
                <w:rFonts w:hint="eastAsia" w:ascii="微软雅黑" w:hAnsi="微软雅黑" w:eastAsia="微软雅黑" w:cs="微软雅黑"/>
                <w:i w:val="0"/>
                <w:strike w:val="0"/>
                <w:color w:val="000000"/>
                <w:spacing w:val="0"/>
                <w:sz w:val="24"/>
                <w:u w:val="none"/>
              </w:rPr>
              <w:t>; 5. Disk capacity &lt; 15TB</w:t>
            </w:r>
          </w:p>
        </w:tc>
        <w:tc>
          <w:tcPr>
            <w:tcW w:w="2310"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19072E6B">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Features standardized configurations with no special disk dependencies, local disk capacity &lt; 15TB, and hardware version compatibility. Managed migration offers a streamlined process with no complex configuration adaptations.Note: Migration speed is limited by VMware interfaces, with a measured maximum rate of 150MB/s (slow). Snapshot creation during migration reduces source-end performance by 5%-10%. Suitable for small-capacity, low-time-sensitivity migrations.</w:t>
            </w:r>
          </w:p>
        </w:tc>
      </w:tr>
      <w:tr w14:paraId="3C14933B">
        <w:tc>
          <w:tcPr>
            <w:tcW w:w="2119"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08362285">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SCMT Point-to-Point Migration</w:t>
            </w:r>
          </w:p>
        </w:tc>
        <w:tc>
          <w:tcPr>
            <w:tcW w:w="2310"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45D29E39">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VMs with moderate disk capacity requiring manual configuration adjustments</w:t>
            </w:r>
          </w:p>
        </w:tc>
        <w:tc>
          <w:tcPr>
            <w:tcW w:w="2310"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0E0715B7">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1. Allowable business interruption time ≥ 10 minutes; 2. OS passes SCMT compatibility evaluation; 3. Disk capacity &lt; 15TB</w:t>
            </w:r>
          </w:p>
        </w:tc>
        <w:tc>
          <w:tcPr>
            <w:tcW w:w="2310"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61939D6C">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Features moderate disk capacity (&lt; 15TB), no pass-through disk compatibility risks, and OS adaptation to SCMT tools. Manual fine-tuning of partial configurations (e.g., network parameters, application dependencies) is required; point-to-point migration flexibly accommodates adjustment needs.Note: Requires installing the SCMT migration agent in the VM’s OS. If the customer prohibits agent installation, agentless migration is an option (subject to the same constraints as HCI Managed Migration: no independent/pass-through/RDM disks, all disks are local disks, etc.).Resource Occupancy During Migration: Agent CPU usage on the source end &lt; 3%; peak memory consumption &lt; 260MB (recommended available memory on the source machine ≥ 1GB); default source storage performance occupancy limited to 30% (read queue depth = 4, adjustable manually).</w:t>
            </w:r>
          </w:p>
        </w:tc>
      </w:tr>
      <w:tr w14:paraId="174534E5">
        <w:tc>
          <w:tcPr>
            <w:tcW w:w="2119"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084B7862">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SCMT Backup Migration</w:t>
            </w:r>
          </w:p>
        </w:tc>
        <w:tc>
          <w:tcPr>
            <w:tcW w:w="2310"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6F02A6EF">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VMs with large-capacity disks (single disk ≥ 15TB)</w:t>
            </w:r>
          </w:p>
        </w:tc>
        <w:tc>
          <w:tcPr>
            <w:tcW w:w="2310"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17F4B684">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1. Allowable business interruption time ≥ 10 minutes; 2. Total disk capacity ≥ 15TB; 3. OS passes SCMT compatibility evaluation</w:t>
            </w:r>
          </w:p>
        </w:tc>
        <w:tc>
          <w:tcPr>
            <w:tcW w:w="2310"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6D372A7B">
            <w:pPr>
              <w:pBdr>
                <w:bottom w:val="single" w:color="auto" w:sz="2" w:space="0"/>
              </w:pBd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Features total disk capacity ≥ 15TB. Large-capacity data migration requires high stability; backup migration supports breakpoint resumption and data verification to reduce failure risks.Note: Agent installation requirements and resource occupancy during migration are consistent with SCMT Point-to-Point Migration，</w:t>
            </w:r>
            <w:r>
              <w:rPr>
                <w:rFonts w:hint="eastAsia" w:ascii="微软雅黑" w:hAnsi="微软雅黑" w:eastAsia="微软雅黑" w:cs="微软雅黑"/>
                <w:i w:val="0"/>
                <w:strike w:val="0"/>
                <w:color w:val="000000"/>
                <w:spacing w:val="0"/>
                <w:sz w:val="24"/>
                <w:u w:val="none"/>
                <w:shd w:val="clear" w:color="auto" w:fill="FFFFFF"/>
              </w:rPr>
              <w:t>Meanwhile, the SCMT virtual machine requires large storage space to store intermediate migration data</w:t>
            </w:r>
          </w:p>
          <w:p w14:paraId="07B50AAD">
            <w:pPr>
              <w:snapToGrid/>
              <w:spacing w:line="240" w:lineRule="auto"/>
              <w:ind w:left="0"/>
              <w:rPr>
                <w:rFonts w:hint="eastAsia" w:ascii="微软雅黑" w:hAnsi="微软雅黑" w:eastAsia="微软雅黑" w:cs="微软雅黑"/>
              </w:rPr>
            </w:pPr>
          </w:p>
          <w:p w14:paraId="66E32695">
            <w:pPr>
              <w:snapToGrid/>
              <w:spacing w:before="0" w:after="0" w:line="420" w:lineRule="auto"/>
              <w:jc w:val="left"/>
              <w:rPr>
                <w:rFonts w:hint="eastAsia" w:ascii="微软雅黑" w:hAnsi="微软雅黑" w:eastAsia="微软雅黑" w:cs="微软雅黑"/>
              </w:rPr>
            </w:pPr>
          </w:p>
        </w:tc>
      </w:tr>
      <w:tr w14:paraId="138DE7E1">
        <w:tc>
          <w:tcPr>
            <w:tcW w:w="2119"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177D29BF">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SCMT Hot Standby Migration</w:t>
            </w:r>
          </w:p>
        </w:tc>
        <w:tc>
          <w:tcPr>
            <w:tcW w:w="2310"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5F8E4DAE">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Complex VMs requiring minimal business interruption (≤ 3 minutes)</w:t>
            </w:r>
          </w:p>
        </w:tc>
        <w:tc>
          <w:tcPr>
            <w:tcW w:w="2310"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35703EC8">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1. Allowable business interruption time ≤ 3 minutes; 2. Complex VM configurations (multi-NIC/multi-application dependencies); 3. OS passes SCMT compatibility evaluation</w:t>
            </w:r>
          </w:p>
        </w:tc>
        <w:tc>
          <w:tcPr>
            <w:tcW w:w="2310"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290D28C1">
            <w:pPr>
              <w:pBdr>
                <w:bottom w:val="none" w:color="auto" w:sz="0" w:space="0"/>
              </w:pBd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Features minimal business interruption tolerance (≤ 3 minutes) and complex configurations (multi-NIC, multi-application associations). Hot standby migration supports near-real-time data synchronization and short switching times to minimize business impact.Note: Agent installation requirements and resource occupancy during migration are consistent with SCMT Point-to-Point Migration，</w:t>
            </w:r>
            <w:r>
              <w:rPr>
                <w:rFonts w:hint="eastAsia" w:ascii="微软雅黑" w:hAnsi="微软雅黑" w:eastAsia="微软雅黑" w:cs="微软雅黑"/>
                <w:i w:val="0"/>
                <w:strike w:val="0"/>
                <w:color w:val="000000"/>
                <w:spacing w:val="0"/>
                <w:sz w:val="24"/>
                <w:u w:val="none"/>
                <w:shd w:val="clear" w:color="auto" w:fill="FFFFFF"/>
              </w:rPr>
              <w:t>Meanwhile, the SCMT virtual machine requires large storage space to store intermediate migration data</w:t>
            </w:r>
          </w:p>
        </w:tc>
      </w:tr>
      <w:tr w14:paraId="0EECDBB9">
        <w:tc>
          <w:tcPr>
            <w:tcW w:w="2119"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542DE993">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Evaluation Failed</w:t>
            </w:r>
          </w:p>
        </w:tc>
        <w:tc>
          <w:tcPr>
            <w:tcW w:w="2310"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4ECFDF9A">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Incompatible OS or abnormal configurations</w:t>
            </w:r>
          </w:p>
        </w:tc>
        <w:tc>
          <w:tcPr>
            <w:tcW w:w="2310"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5F41ACF2">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1. OS contains incompatible keywords (e.g., Apple/FreeBSD/VMware); 2. Special OS fails compatibility evaluation; 3. Abnormal disk configurations</w:t>
            </w:r>
          </w:p>
        </w:tc>
        <w:tc>
          <w:tcPr>
            <w:tcW w:w="2310"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1FF352DF">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Sangfor HCI is temporarily incompatible with the VM’s OS or the configuration is abnormal (e.g., unrecognized disk type). Contact technical support for configuration verification.</w:t>
            </w:r>
          </w:p>
        </w:tc>
      </w:tr>
    </w:tbl>
    <w:p w14:paraId="57F703ED">
      <w:pPr>
        <w:pStyle w:val="4"/>
        <w:pBdr>
          <w:bottom w:val="single" w:color="auto" w:sz="2" w:space="0"/>
        </w:pBdr>
        <w:snapToGrid/>
        <w:spacing w:before="180" w:after="0" w:line="360" w:lineRule="auto"/>
        <w:ind w:left="0" w:right="0" w:firstLine="0"/>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shd w:val="clear" w:color="auto" w:fill="FFFFFF"/>
        </w:rPr>
        <w:t>2.3.2 Special VM Identification Rules</w:t>
      </w:r>
    </w:p>
    <w:p w14:paraId="4DFACE23">
      <w:pPr>
        <w:pStyle w:val="5"/>
        <w:pBdr>
          <w:bottom w:val="single" w:color="auto" w:sz="2" w:space="0"/>
        </w:pBdr>
        <w:snapToGrid/>
        <w:spacing w:before="0" w:after="0" w:line="360" w:lineRule="auto"/>
        <w:ind w:left="0" w:right="0" w:firstLine="0"/>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shd w:val="clear" w:color="auto" w:fill="FFFFFF"/>
        </w:rPr>
        <w:t>Domain-Joined VMs</w:t>
      </w:r>
    </w:p>
    <w:p w14:paraId="21EB6634">
      <w:pPr>
        <w:pBdr>
          <w:bottom w:val="single" w:color="auto" w:sz="2" w:space="0"/>
        </w:pBdr>
        <w:snapToGrid/>
        <w:spacing w:line="360" w:lineRule="auto"/>
        <w:ind w:left="0" w:firstLine="0"/>
        <w:rPr>
          <w:rFonts w:hint="eastAsia" w:ascii="微软雅黑" w:hAnsi="微软雅黑" w:eastAsia="微软雅黑" w:cs="微软雅黑"/>
        </w:rPr>
      </w:pPr>
      <w:r>
        <w:rPr>
          <w:rFonts w:hint="eastAsia" w:ascii="微软雅黑" w:hAnsi="微软雅黑" w:eastAsia="微软雅黑" w:cs="微软雅黑"/>
          <w:b/>
          <w:i w:val="0"/>
          <w:strike w:val="0"/>
          <w:color w:val="auto"/>
          <w:spacing w:val="0"/>
          <w:sz w:val="24"/>
          <w:u w:val="none"/>
          <w:shd w:val="clear" w:color="auto" w:fill="FFFFFF"/>
        </w:rPr>
        <w:t>Identification Background</w:t>
      </w:r>
      <w:r>
        <w:rPr>
          <w:rFonts w:hint="eastAsia" w:ascii="微软雅黑" w:hAnsi="微软雅黑" w:eastAsia="微软雅黑" w:cs="微软雅黑"/>
          <w:i w:val="0"/>
          <w:strike w:val="0"/>
          <w:color w:val="000000"/>
          <w:spacing w:val="0"/>
          <w:sz w:val="24"/>
          <w:u w:val="none"/>
          <w:shd w:val="clear" w:color="auto" w:fill="FFFFFF"/>
        </w:rPr>
        <w:t>: Windows VMs joined to an AD Domain (Active Directory) are prone to losing trust relationships with the domain after cross-platform migration or V2V conversion due to SID (Security Identifier) changes or machine account password desynchronization. This results in login failures or inability to access resources. Early warning is provided to develop cutover plans (e.g., preparing local administrator accounts in advance, planning domain disjoin/rejoin processes).</w:t>
      </w:r>
    </w:p>
    <w:p w14:paraId="08F5E6DE">
      <w:pPr>
        <w:pBdr>
          <w:bottom w:val="single" w:color="auto" w:sz="2" w:space="0"/>
        </w:pBdr>
        <w:snapToGrid/>
        <w:spacing w:line="360" w:lineRule="auto"/>
        <w:ind w:left="0" w:firstLine="0"/>
        <w:rPr>
          <w:rFonts w:hint="eastAsia" w:ascii="微软雅黑" w:hAnsi="微软雅黑" w:eastAsia="微软雅黑" w:cs="微软雅黑"/>
        </w:rPr>
      </w:pPr>
      <w:r>
        <w:rPr>
          <w:rFonts w:hint="eastAsia" w:ascii="微软雅黑" w:hAnsi="微软雅黑" w:eastAsia="微软雅黑" w:cs="微软雅黑"/>
          <w:b/>
          <w:i w:val="0"/>
          <w:strike w:val="0"/>
          <w:color w:val="auto"/>
          <w:spacing w:val="0"/>
          <w:sz w:val="24"/>
          <w:u w:val="none"/>
          <w:shd w:val="clear" w:color="auto" w:fill="FFFFFF"/>
        </w:rPr>
        <w:t>Identification Rules</w:t>
      </w:r>
      <w:r>
        <w:rPr>
          <w:rFonts w:hint="eastAsia" w:ascii="微软雅黑" w:hAnsi="微软雅黑" w:eastAsia="微软雅黑" w:cs="微软雅黑"/>
          <w:i w:val="0"/>
          <w:strike w:val="0"/>
          <w:color w:val="000000"/>
          <w:spacing w:val="0"/>
          <w:sz w:val="24"/>
          <w:u w:val="none"/>
          <w:shd w:val="clear" w:color="auto" w:fill="FFFFFF"/>
        </w:rPr>
        <w:t>: The system analyzes information reported by VMware Tools. VMs meeting the following criteria are marked as [AD Domain Risk]:</w:t>
      </w:r>
    </w:p>
    <w:p w14:paraId="26A98C95">
      <w:pPr>
        <w:numPr>
          <w:ilvl w:val="0"/>
          <w:numId w:val="5"/>
        </w:numPr>
        <w:pBdr>
          <w:bottom w:val="single" w:color="auto" w:sz="2" w:space="0"/>
        </w:pBdr>
        <w:snapToGrid/>
        <w:spacing w:before="120" w:after="120" w:line="360" w:lineRule="auto"/>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Prerequisite: OS type identified as Windows series.</w:t>
      </w:r>
    </w:p>
    <w:p w14:paraId="7BDC9C3A">
      <w:pPr>
        <w:numPr>
          <w:ilvl w:val="0"/>
          <w:numId w:val="5"/>
        </w:numPr>
        <w:pBdr>
          <w:bottom w:val="single" w:color="auto" w:sz="2" w:space="0"/>
        </w:pBdr>
        <w:snapToGrid/>
        <w:spacing w:before="120" w:after="120" w:line="360" w:lineRule="auto"/>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 xml:space="preserve">Meets any of the following features:Full Domain Name Suffix (FQDN): The VM name (Hostname) reported by VMware Tools is not a simple computer name (e.g., WEB-01) but includes a full domain suffix (e.g., </w:t>
      </w: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HYPERLINK https://web-01.corp.example.com/ normalLink \tdft \tdfe -10 \tdfid \tddp \tdop \tdlt inline \tdds \tdfvi \tdlf \tdtf \l \tdsub normalLink \tdkey 3v459p \tdkey 3v459p</w:instrText>
      </w:r>
      <w:r>
        <w:rPr>
          <w:rFonts w:hint="eastAsia" w:ascii="微软雅黑" w:hAnsi="微软雅黑" w:eastAsia="微软雅黑" w:cs="微软雅黑"/>
        </w:rPr>
        <w:fldChar w:fldCharType="separate"/>
      </w:r>
      <w:r>
        <w:rPr>
          <w:rStyle w:val="12"/>
          <w:rFonts w:hint="eastAsia" w:ascii="微软雅黑" w:hAnsi="微软雅黑" w:eastAsia="微软雅黑" w:cs="微软雅黑"/>
          <w:color w:val="auto"/>
        </w:rPr>
        <w:t>WEB-01.corp.example.com</w:t>
      </w:r>
      <w:r>
        <w:rPr>
          <w:rFonts w:hint="eastAsia" w:ascii="微软雅黑" w:hAnsi="微软雅黑" w:eastAsia="微软雅黑" w:cs="微软雅黑"/>
        </w:rPr>
        <w:fldChar w:fldCharType="end"/>
      </w:r>
      <w:r>
        <w:rPr>
          <w:rFonts w:hint="eastAsia" w:ascii="微软雅黑" w:hAnsi="微软雅黑" w:eastAsia="微软雅黑" w:cs="微软雅黑"/>
          <w:i w:val="0"/>
          <w:strike w:val="0"/>
          <w:color w:val="000000"/>
          <w:spacing w:val="0"/>
          <w:sz w:val="24"/>
          <w:u w:val="none"/>
          <w:shd w:val="clear" w:color="auto" w:fill="FFFFFF"/>
        </w:rPr>
        <w:t>).</w:t>
      </w:r>
    </w:p>
    <w:p w14:paraId="50933819">
      <w:pPr>
        <w:numPr>
          <w:ilvl w:val="1"/>
          <w:numId w:val="5"/>
        </w:numPr>
        <w:pBdr>
          <w:bottom w:val="single" w:color="auto" w:sz="2" w:space="0"/>
        </w:pBdr>
        <w:snapToGrid/>
        <w:spacing w:before="120" w:after="120" w:line="360" w:lineRule="auto"/>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DNS Search Domain Configuration: Detects non-empty Primary DNS Suffix or connection-specific DNS suffix in the VM’s network configuration.</w:t>
      </w:r>
    </w:p>
    <w:p w14:paraId="3E858679">
      <w:pPr>
        <w:ind w:left="0"/>
        <w:rPr>
          <w:rFonts w:hint="eastAsia" w:ascii="微软雅黑" w:hAnsi="微软雅黑" w:eastAsia="微软雅黑" w:cs="微软雅黑"/>
        </w:rPr>
      </w:pPr>
    </w:p>
    <w:p w14:paraId="025E9743">
      <w:pPr>
        <w:pStyle w:val="5"/>
        <w:pBdr>
          <w:bottom w:val="single" w:color="auto" w:sz="2" w:space="0"/>
        </w:pBdr>
        <w:snapToGrid/>
        <w:spacing w:before="180" w:after="0" w:line="360" w:lineRule="auto"/>
        <w:ind w:left="0" w:right="0" w:firstLine="0"/>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shd w:val="clear" w:color="auto" w:fill="FFFFFF"/>
        </w:rPr>
        <w:t>Database VMs</w:t>
      </w:r>
    </w:p>
    <w:p w14:paraId="7C352AB6">
      <w:pPr>
        <w:pBdr>
          <w:bottom w:val="single" w:color="auto" w:sz="2" w:space="0"/>
        </w:pBdr>
        <w:snapToGrid/>
        <w:spacing w:line="360" w:lineRule="auto"/>
        <w:ind w:left="0" w:firstLine="0"/>
        <w:rPr>
          <w:rFonts w:hint="eastAsia" w:ascii="微软雅黑" w:hAnsi="微软雅黑" w:eastAsia="微软雅黑" w:cs="微软雅黑"/>
        </w:rPr>
      </w:pPr>
      <w:r>
        <w:rPr>
          <w:rFonts w:hint="eastAsia" w:ascii="微软雅黑" w:hAnsi="微软雅黑" w:eastAsia="微软雅黑" w:cs="微软雅黑"/>
          <w:b/>
          <w:i w:val="0"/>
          <w:strike w:val="0"/>
          <w:color w:val="auto"/>
          <w:spacing w:val="0"/>
          <w:sz w:val="24"/>
          <w:u w:val="none"/>
          <w:shd w:val="clear" w:color="auto" w:fill="FFFFFF"/>
        </w:rPr>
        <w:t>Identification Background</w:t>
      </w:r>
      <w:r>
        <w:rPr>
          <w:rFonts w:hint="eastAsia" w:ascii="微软雅黑" w:hAnsi="微软雅黑" w:eastAsia="微软雅黑" w:cs="微软雅黑"/>
          <w:i w:val="0"/>
          <w:strike w:val="0"/>
          <w:color w:val="000000"/>
          <w:spacing w:val="0"/>
          <w:sz w:val="24"/>
          <w:u w:val="none"/>
          <w:shd w:val="clear" w:color="auto" w:fill="FFFFFF"/>
        </w:rPr>
        <w:t>:Databases are critical carriers of core business data, directly impacting business continuity and data security. While standalone or active-standby databases can theoretically be migrated at the VM level, such data has extremely high requirements for consistency and integrity. VM-level migration may involve hidden risks (e.g., incomplete transaction log synchronization, configuration adaptation deviations).Therefore, a dedicated field is used to identify such VMs, reminding engineers and users to focus on database VM-related risks in the [Migration Risk Identification &amp; Handling Details], [OS Compatibility Verification Details], and [VM Configuration Automatic Conversion Evaluation Details] tables during the entire migration process. Proactive issue confirmation and resolution are required to avoid business interruptions or losses caused by data issues, compatibility deviations, or configuration errors.</w:t>
      </w:r>
    </w:p>
    <w:p w14:paraId="1F2D78F9">
      <w:pPr>
        <w:pBdr>
          <w:bottom w:val="single" w:color="auto" w:sz="2" w:space="0"/>
        </w:pBdr>
        <w:snapToGrid/>
        <w:spacing w:line="360" w:lineRule="auto"/>
        <w:ind w:left="0" w:firstLine="0"/>
        <w:rPr>
          <w:rFonts w:hint="eastAsia" w:ascii="微软雅黑" w:hAnsi="微软雅黑" w:eastAsia="微软雅黑" w:cs="微软雅黑"/>
        </w:rPr>
      </w:pPr>
      <w:r>
        <w:rPr>
          <w:rFonts w:hint="eastAsia" w:ascii="微软雅黑" w:hAnsi="微软雅黑" w:eastAsia="微软雅黑" w:cs="微软雅黑"/>
          <w:b/>
          <w:i w:val="0"/>
          <w:strike w:val="0"/>
          <w:color w:val="auto"/>
          <w:spacing w:val="0"/>
          <w:sz w:val="24"/>
          <w:u w:val="none"/>
          <w:shd w:val="clear" w:color="auto" w:fill="FFFFFF"/>
        </w:rPr>
        <w:t>Identification Rules</w:t>
      </w:r>
      <w:r>
        <w:rPr>
          <w:rFonts w:hint="eastAsia" w:ascii="微软雅黑" w:hAnsi="微软雅黑" w:eastAsia="微软雅黑" w:cs="微软雅黑"/>
          <w:i w:val="0"/>
          <w:strike w:val="0"/>
          <w:color w:val="000000"/>
          <w:spacing w:val="0"/>
          <w:sz w:val="24"/>
          <w:u w:val="none"/>
          <w:shd w:val="clear" w:color="auto" w:fill="FFFFFF"/>
        </w:rPr>
        <w:t>: The system marks VMs as database VMs if their names contain database-related keywords.</w:t>
      </w:r>
    </w:p>
    <w:p w14:paraId="22E1AD17">
      <w:pPr>
        <w:pBdr>
          <w:bottom w:val="single" w:color="1C1F23" w:sz="8" w:space="0"/>
        </w:pBdr>
        <w:ind w:left="0"/>
        <w:rPr>
          <w:rFonts w:hint="eastAsia" w:ascii="微软雅黑" w:hAnsi="微软雅黑" w:eastAsia="微软雅黑" w:cs="微软雅黑"/>
        </w:rPr>
      </w:pPr>
    </w:p>
    <w:p w14:paraId="63C457B9">
      <w:pPr>
        <w:pStyle w:val="3"/>
        <w:pBdr>
          <w:bottom w:val="single" w:color="auto" w:sz="2" w:space="0"/>
        </w:pBdr>
        <w:snapToGrid/>
        <w:spacing w:before="203" w:after="0" w:line="360" w:lineRule="auto"/>
        <w:ind w:left="0" w:right="0" w:firstLine="0"/>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7"/>
          <w:u w:val="none"/>
          <w:shd w:val="clear" w:color="auto" w:fill="FFFFFF"/>
        </w:rPr>
        <w:t>2.4 Business Cutover &amp; Change Planning</w:t>
      </w:r>
    </w:p>
    <w:p w14:paraId="7B37AB52">
      <w:pPr>
        <w:pBdr>
          <w:bottom w:val="single" w:color="auto" w:sz="2" w:space="0"/>
        </w:pBdr>
        <w:snapToGrid/>
        <w:spacing w:line="360" w:lineRule="auto"/>
        <w:ind w:left="0" w:firstLine="0"/>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(Note: This section is the "final mile" of implementation, utilizing the [VMware Migration Change Comparison] and [VM Key Information Archiving] tables.)</w:t>
      </w:r>
    </w:p>
    <w:p w14:paraId="211D3A24">
      <w:pPr>
        <w:pBdr>
          <w:bottom w:val="single" w:color="auto" w:sz="2" w:space="0"/>
        </w:pBdr>
        <w:snapToGrid/>
        <w:spacing w:line="360" w:lineRule="auto"/>
        <w:ind w:left="0" w:firstLine="0"/>
        <w:rPr>
          <w:rFonts w:hint="eastAsia" w:ascii="微软雅黑" w:hAnsi="微软雅黑" w:eastAsia="微软雅黑" w:cs="微软雅黑"/>
        </w:rPr>
      </w:pPr>
      <w:r>
        <w:rPr>
          <w:rFonts w:hint="eastAsia" w:ascii="微软雅黑" w:hAnsi="微软雅黑" w:eastAsia="微软雅黑" w:cs="微软雅黑"/>
          <w:b/>
          <w:i w:val="0"/>
          <w:strike w:val="0"/>
          <w:color w:val="auto"/>
          <w:spacing w:val="0"/>
          <w:sz w:val="24"/>
          <w:u w:val="none"/>
          <w:shd w:val="clear" w:color="auto" w:fill="FFFFFF"/>
        </w:rPr>
        <w:t>Scenario</w:t>
      </w:r>
      <w:r>
        <w:rPr>
          <w:rFonts w:hint="eastAsia" w:ascii="微软雅黑" w:hAnsi="微软雅黑" w:eastAsia="微软雅黑" w:cs="微软雅黑"/>
          <w:i w:val="0"/>
          <w:strike w:val="0"/>
          <w:color w:val="000000"/>
          <w:spacing w:val="0"/>
          <w:sz w:val="24"/>
          <w:u w:val="none"/>
          <w:shd w:val="clear" w:color="auto" w:fill="FFFFFF"/>
        </w:rPr>
        <w:t>: Address "human-related" issues and avoid "application inoperability" risks.</w:t>
      </w:r>
    </w:p>
    <w:tbl>
      <w:tblPr>
        <w:tblStyle w:val="9"/>
        <w:tblW w:w="0" w:type="auto"/>
        <w:tblInd w:w="0" w:type="dxa"/>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Layout w:type="fixed"/>
        <w:tblCellMar>
          <w:top w:w="0" w:type="dxa"/>
          <w:left w:w="108" w:type="dxa"/>
          <w:bottom w:w="0" w:type="dxa"/>
          <w:right w:w="108" w:type="dxa"/>
        </w:tblCellMar>
      </w:tblPr>
      <w:tblGrid>
        <w:gridCol w:w="1701"/>
        <w:gridCol w:w="2143"/>
        <w:gridCol w:w="3000"/>
        <w:gridCol w:w="2203"/>
      </w:tblGrid>
      <w:tr w14:paraId="1BB52C12">
        <w:tc>
          <w:tcPr>
            <w:tcW w:w="1701" w:type="dxa"/>
            <w:tcBorders>
              <w:top w:val="single" w:color="CBCDD1" w:sz="0" w:space="0"/>
              <w:left w:val="single" w:color="CBCDD1"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47D2CCF3">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Focus Task</w:t>
            </w:r>
          </w:p>
        </w:tc>
        <w:tc>
          <w:tcPr>
            <w:tcW w:w="2143" w:type="dxa"/>
            <w:tcBorders>
              <w:top w:val="single" w:color="CBCDD1" w:sz="0" w:space="0"/>
              <w:left w:val="single" w:color="9A9A9A"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73CAD28A">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Associated Forms</w:t>
            </w:r>
          </w:p>
        </w:tc>
        <w:tc>
          <w:tcPr>
            <w:tcW w:w="3000" w:type="dxa"/>
            <w:tcBorders>
              <w:top w:val="single" w:color="CBCDD1" w:sz="0" w:space="0"/>
              <w:left w:val="single" w:color="9A9A9A"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1707689D">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Key Actions</w:t>
            </w:r>
          </w:p>
        </w:tc>
        <w:tc>
          <w:tcPr>
            <w:tcW w:w="2203" w:type="dxa"/>
            <w:tcBorders>
              <w:top w:val="single" w:color="CBCDD1" w:sz="0" w:space="0"/>
              <w:left w:val="single" w:color="9A9A9A" w:sz="0" w:space="0"/>
              <w:bottom w:val="single" w:color="CBCDD1" w:sz="0" w:space="0"/>
              <w:right w:val="single" w:color="CBCDD1" w:sz="0" w:space="0"/>
            </w:tcBorders>
            <w:shd w:val="clear" w:color="auto" w:fill="F2F2F2"/>
            <w:tcMar>
              <w:top w:w="180" w:type="dxa"/>
              <w:left w:w="270" w:type="dxa"/>
              <w:bottom w:w="180" w:type="dxa"/>
              <w:right w:w="270" w:type="dxa"/>
            </w:tcMar>
            <w:vAlign w:val="center"/>
          </w:tcPr>
          <w:p w14:paraId="28E77513">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Output</w:t>
            </w:r>
          </w:p>
        </w:tc>
      </w:tr>
      <w:tr w14:paraId="7DCC8579">
        <w:tc>
          <w:tcPr>
            <w:tcW w:w="1701"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7F631CB2">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Application Binding Check</w:t>
            </w:r>
          </w:p>
        </w:tc>
        <w:tc>
          <w:tcPr>
            <w:tcW w:w="2143"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0BB0ECEC">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VMware Migration Change ComparisonVM Key Information Archiving</w:t>
            </w:r>
          </w:p>
        </w:tc>
        <w:tc>
          <w:tcPr>
            <w:tcW w:w="3000"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023F84C3">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Confirm with the business side:1. UUID/Serial Number: Is the software license bound to the server serial number or UUID? (Especially for financial/ERP software.)2. MAC Address: Is online banking/encrypted communication bound to the MAC address?3. Virtualization Platform: Does the application detect the underlying vendor (VMware vs. KVM)?4. See below for detailed research template.</w:t>
            </w:r>
          </w:p>
        </w:tc>
        <w:tc>
          <w:tcPr>
            <w:tcW w:w="2203"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0FB7F053">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Application Research Confirmation Form</w:t>
            </w:r>
          </w:p>
        </w:tc>
      </w:tr>
      <w:tr w14:paraId="65C92969">
        <w:tc>
          <w:tcPr>
            <w:tcW w:w="1701"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081727B2">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Cutover Window Confirmation</w:t>
            </w:r>
          </w:p>
        </w:tc>
        <w:tc>
          <w:tcPr>
            <w:tcW w:w="2143"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6F6B257F">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Migration Cycle &amp; Batch Schedule</w:t>
            </w:r>
          </w:p>
        </w:tc>
        <w:tc>
          <w:tcPr>
            <w:tcW w:w="3000"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3BD78F64">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1. Confirm Downtime: Based on the migration method, confirm if the allowable interruption time is acceptable to the business.2. Confirm IP Changes: Will the IP address change after migration? Do upstream/downstream calls require adjustments?</w:t>
            </w:r>
          </w:p>
        </w:tc>
        <w:tc>
          <w:tcPr>
            <w:tcW w:w="2203"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17F226F6">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Detailed Cutover Plan</w:t>
            </w:r>
          </w:p>
        </w:tc>
      </w:tr>
    </w:tbl>
    <w:p w14:paraId="515326F0">
      <w:pPr>
        <w:pStyle w:val="4"/>
        <w:pBdr>
          <w:bottom w:val="single" w:color="auto" w:sz="2" w:space="0"/>
        </w:pBdr>
        <w:snapToGrid/>
        <w:spacing w:before="180" w:after="0" w:line="360" w:lineRule="auto"/>
        <w:ind w:left="0" w:right="0" w:firstLine="0"/>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shd w:val="clear" w:color="auto" w:fill="FFFFFF"/>
        </w:rPr>
        <w:t>Application Research Template</w:t>
      </w:r>
    </w:p>
    <w:tbl>
      <w:tblPr>
        <w:tblStyle w:val="9"/>
        <w:tblW w:w="0" w:type="auto"/>
        <w:tblInd w:w="0" w:type="dxa"/>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Layout w:type="fixed"/>
        <w:tblCellMar>
          <w:top w:w="0" w:type="dxa"/>
          <w:left w:w="108" w:type="dxa"/>
          <w:bottom w:w="0" w:type="dxa"/>
          <w:right w:w="108" w:type="dxa"/>
        </w:tblCellMar>
      </w:tblPr>
      <w:tblGrid>
        <w:gridCol w:w="658"/>
        <w:gridCol w:w="1577"/>
        <w:gridCol w:w="1577"/>
        <w:gridCol w:w="1577"/>
        <w:gridCol w:w="880"/>
        <w:gridCol w:w="1204"/>
        <w:gridCol w:w="1577"/>
      </w:tblGrid>
      <w:tr w14:paraId="22C858FA">
        <w:tc>
          <w:tcPr>
            <w:tcW w:w="658" w:type="dxa"/>
            <w:tcBorders>
              <w:top w:val="single" w:color="CBCDD1" w:sz="0" w:space="0"/>
              <w:left w:val="single" w:color="CBCDD1"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3A2B082A">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Change Item</w:t>
            </w:r>
          </w:p>
        </w:tc>
        <w:tc>
          <w:tcPr>
            <w:tcW w:w="1577" w:type="dxa"/>
            <w:tcBorders>
              <w:top w:val="single" w:color="CBCDD1" w:sz="0" w:space="0"/>
              <w:left w:val="single" w:color="9A9A9A"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546D21B3">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Change Description (Knowledge Base)</w:t>
            </w:r>
          </w:p>
        </w:tc>
        <w:tc>
          <w:tcPr>
            <w:tcW w:w="1577" w:type="dxa"/>
            <w:tcBorders>
              <w:top w:val="single" w:color="CBCDD1" w:sz="0" w:space="0"/>
              <w:left w:val="single" w:color="9A9A9A"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6E88DD11">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Potential Impact (Risk Prompt)</w:t>
            </w:r>
          </w:p>
        </w:tc>
        <w:tc>
          <w:tcPr>
            <w:tcW w:w="1577" w:type="dxa"/>
            <w:tcBorders>
              <w:top w:val="single" w:color="CBCDD1" w:sz="0" w:space="0"/>
              <w:left w:val="single" w:color="9A9A9A"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681C4530">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Questions to Confirm with the Business Side (Script)</w:t>
            </w:r>
          </w:p>
        </w:tc>
        <w:tc>
          <w:tcPr>
            <w:tcW w:w="880" w:type="dxa"/>
            <w:tcBorders>
              <w:top w:val="single" w:color="CBCDD1" w:sz="0" w:space="0"/>
              <w:left w:val="single" w:color="9A9A9A"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5B9C7E2A">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Involved VMs (Fill in Names)</w:t>
            </w:r>
          </w:p>
        </w:tc>
        <w:tc>
          <w:tcPr>
            <w:tcW w:w="1204" w:type="dxa"/>
            <w:tcBorders>
              <w:top w:val="single" w:color="CBCDD1" w:sz="0" w:space="0"/>
              <w:left w:val="single" w:color="9A9A9A" w:sz="0" w:space="0"/>
              <w:bottom w:val="single" w:color="CBCDD1" w:sz="0" w:space="0"/>
              <w:right w:val="single" w:color="9A9A9A" w:sz="8" w:space="0"/>
            </w:tcBorders>
            <w:shd w:val="clear" w:color="auto" w:fill="F2F2F2"/>
            <w:tcMar>
              <w:top w:w="180" w:type="dxa"/>
              <w:left w:w="270" w:type="dxa"/>
              <w:bottom w:w="180" w:type="dxa"/>
              <w:right w:w="270" w:type="dxa"/>
            </w:tcMar>
            <w:vAlign w:val="center"/>
          </w:tcPr>
          <w:p w14:paraId="5065774E">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Business Confirmation Result (Yes/No)</w:t>
            </w:r>
          </w:p>
        </w:tc>
        <w:tc>
          <w:tcPr>
            <w:tcW w:w="1577" w:type="dxa"/>
            <w:tcBorders>
              <w:top w:val="single" w:color="CBCDD1" w:sz="0" w:space="0"/>
              <w:left w:val="single" w:color="9A9A9A" w:sz="0" w:space="0"/>
              <w:bottom w:val="single" w:color="CBCDD1" w:sz="0" w:space="0"/>
              <w:right w:val="single" w:color="CBCDD1" w:sz="0" w:space="0"/>
            </w:tcBorders>
            <w:shd w:val="clear" w:color="auto" w:fill="F2F2F2"/>
            <w:tcMar>
              <w:top w:w="180" w:type="dxa"/>
              <w:left w:w="270" w:type="dxa"/>
              <w:bottom w:w="180" w:type="dxa"/>
              <w:right w:w="270" w:type="dxa"/>
            </w:tcMar>
            <w:vAlign w:val="center"/>
          </w:tcPr>
          <w:p w14:paraId="632C5F7F">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rPr>
              <w:t>Solution</w:t>
            </w:r>
          </w:p>
        </w:tc>
      </w:tr>
      <w:tr w14:paraId="16E9EFAF">
        <w:tc>
          <w:tcPr>
            <w:tcW w:w="658"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456B53CE">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VM UUID</w:t>
            </w:r>
          </w:p>
        </w:tc>
        <w:tc>
          <w:tcPr>
            <w:tcW w:w="1577"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254374C3">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UUID is regenerated and changed after migration</w:t>
            </w:r>
          </w:p>
        </w:tc>
        <w:tc>
          <w:tcPr>
            <w:tcW w:w="1577"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0F9FF854">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License authorization dependent on UUID will become invalid</w:t>
            </w:r>
          </w:p>
        </w:tc>
        <w:tc>
          <w:tcPr>
            <w:tcW w:w="1577"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5773C37C">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Is your application’s license key bound to the server serial number or UUID?</w:t>
            </w:r>
          </w:p>
        </w:tc>
        <w:tc>
          <w:tcPr>
            <w:tcW w:w="880"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1D1CFF44">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Fill in VM Name</w:t>
            </w:r>
          </w:p>
        </w:tc>
        <w:tc>
          <w:tcPr>
            <w:tcW w:w="1204"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1F4C8C6D">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 Yes □ No</w:t>
            </w:r>
          </w:p>
        </w:tc>
        <w:tc>
          <w:tcPr>
            <w:tcW w:w="1577"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114995B8">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 Apply for new authorization in advance □ Ignore</w:t>
            </w:r>
          </w:p>
        </w:tc>
      </w:tr>
      <w:tr w14:paraId="5EC19CBB">
        <w:tc>
          <w:tcPr>
            <w:tcW w:w="658"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1C56D725">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MAC Address</w:t>
            </w:r>
          </w:p>
        </w:tc>
        <w:tc>
          <w:tcPr>
            <w:tcW w:w="1577"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0732F1CC">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MAC address may change after migration</w:t>
            </w:r>
          </w:p>
        </w:tc>
        <w:tc>
          <w:tcPr>
            <w:tcW w:w="1577"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7C503A8A">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Online banking certificates or authorization files bound to the MAC address will become invalid</w:t>
            </w:r>
          </w:p>
        </w:tc>
        <w:tc>
          <w:tcPr>
            <w:tcW w:w="1577"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62CB8D51">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Is your business system bound to the physical MAC address?</w:t>
            </w:r>
          </w:p>
        </w:tc>
        <w:tc>
          <w:tcPr>
            <w:tcW w:w="880"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6618956B">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Fill in VM Name</w:t>
            </w:r>
          </w:p>
        </w:tc>
        <w:tc>
          <w:tcPr>
            <w:tcW w:w="1204"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201B54DA">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 Yes □ No</w:t>
            </w:r>
          </w:p>
        </w:tc>
        <w:tc>
          <w:tcPr>
            <w:tcW w:w="1577"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133FF246">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 Manually modify MAC to keep consistent □ Apply for reset</w:t>
            </w:r>
          </w:p>
        </w:tc>
      </w:tr>
      <w:tr w14:paraId="795CF58E">
        <w:tc>
          <w:tcPr>
            <w:tcW w:w="658"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7AE6F831">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System SID</w:t>
            </w:r>
          </w:p>
        </w:tc>
        <w:tc>
          <w:tcPr>
            <w:tcW w:w="1577"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72C27AB7">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SCMT migration retains the SID by default</w:t>
            </w:r>
          </w:p>
        </w:tc>
        <w:tc>
          <w:tcPr>
            <w:tcW w:w="1577"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5A27BE3D">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Usually no impact</w:t>
            </w:r>
          </w:p>
        </w:tc>
        <w:tc>
          <w:tcPr>
            <w:tcW w:w="1577"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54FA6C06">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(Domain controller scenarios only) Is there an SID conflict caused by VM cloning?</w:t>
            </w:r>
          </w:p>
        </w:tc>
        <w:tc>
          <w:tcPr>
            <w:tcW w:w="880"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6DA4832E">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Fill in VM Name</w:t>
            </w:r>
          </w:p>
        </w:tc>
        <w:tc>
          <w:tcPr>
            <w:tcW w:w="1204"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6024FAEC">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 Yes □ No</w:t>
            </w:r>
          </w:p>
        </w:tc>
        <w:tc>
          <w:tcPr>
            <w:tcW w:w="1577"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7713B90D">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 Retain current state □ Need to reset</w:t>
            </w:r>
          </w:p>
        </w:tc>
      </w:tr>
      <w:tr w14:paraId="342B8990">
        <w:tc>
          <w:tcPr>
            <w:tcW w:w="658"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24A0FB02">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Virtualization Vendor</w:t>
            </w:r>
          </w:p>
        </w:tc>
        <w:tc>
          <w:tcPr>
            <w:tcW w:w="1577"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0699A8CD">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Upgrade from VMware to Sangfor (KVM)</w:t>
            </w:r>
          </w:p>
        </w:tc>
        <w:tc>
          <w:tcPr>
            <w:tcW w:w="1577"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09877D7C">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Some software with underlying hardware verification may fail to run</w:t>
            </w:r>
          </w:p>
        </w:tc>
        <w:tc>
          <w:tcPr>
            <w:tcW w:w="1577"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159BC900">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Must the application run on the VMware platform? (e.g., certain legacy all-in-one software)</w:t>
            </w:r>
          </w:p>
        </w:tc>
        <w:tc>
          <w:tcPr>
            <w:tcW w:w="880"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097A279E">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Fill in VM Name</w:t>
            </w:r>
          </w:p>
        </w:tc>
        <w:tc>
          <w:tcPr>
            <w:tcW w:w="1204"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0BFF4346">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 Yes □ No</w:t>
            </w:r>
          </w:p>
        </w:tc>
        <w:tc>
          <w:tcPr>
            <w:tcW w:w="1577"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2EEC47D9">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 Test and verify □ Cannot migrate</w:t>
            </w:r>
          </w:p>
        </w:tc>
      </w:tr>
      <w:tr w14:paraId="1783EFCF">
        <w:tc>
          <w:tcPr>
            <w:tcW w:w="658" w:type="dxa"/>
            <w:tcBorders>
              <w:top w:val="single" w:color="CBCDD1" w:sz="0" w:space="0"/>
              <w:left w:val="single" w:color="CBCDD1" w:sz="0" w:space="0"/>
              <w:bottom w:val="single" w:color="CBCDD1" w:sz="0" w:space="0"/>
              <w:right w:val="single" w:color="9A9A9A" w:sz="8" w:space="0"/>
            </w:tcBorders>
            <w:tcMar>
              <w:top w:w="180" w:type="dxa"/>
              <w:left w:w="270" w:type="dxa"/>
              <w:bottom w:w="180" w:type="dxa"/>
              <w:right w:w="270" w:type="dxa"/>
            </w:tcMar>
            <w:vAlign w:val="center"/>
          </w:tcPr>
          <w:p w14:paraId="48D11257">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IP Address</w:t>
            </w:r>
          </w:p>
        </w:tc>
        <w:tc>
          <w:tcPr>
            <w:tcW w:w="1577"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016C7CD7">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Usually unchanged, but may change for cross-subnet migration</w:t>
            </w:r>
          </w:p>
        </w:tc>
        <w:tc>
          <w:tcPr>
            <w:tcW w:w="1577"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1E475C0A">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Client connection failures or interface call errors</w:t>
            </w:r>
          </w:p>
        </w:tc>
        <w:tc>
          <w:tcPr>
            <w:tcW w:w="1577"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7E6C563E">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Is IP address change allowed after migration? Do upstream/downstream systems use hardcoded IP addresses for calls?</w:t>
            </w:r>
          </w:p>
        </w:tc>
        <w:tc>
          <w:tcPr>
            <w:tcW w:w="880"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014DA6EB">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Fill in VM Name</w:t>
            </w:r>
          </w:p>
        </w:tc>
        <w:tc>
          <w:tcPr>
            <w:tcW w:w="1204" w:type="dxa"/>
            <w:tcBorders>
              <w:top w:val="single" w:color="CBCDD1" w:sz="0" w:space="0"/>
              <w:left w:val="single" w:color="9A9A9A" w:sz="0" w:space="0"/>
              <w:bottom w:val="single" w:color="CBCDD1" w:sz="0" w:space="0"/>
              <w:right w:val="single" w:color="9A9A9A" w:sz="8" w:space="0"/>
            </w:tcBorders>
            <w:tcMar>
              <w:top w:w="180" w:type="dxa"/>
              <w:left w:w="270" w:type="dxa"/>
              <w:bottom w:w="180" w:type="dxa"/>
              <w:right w:w="270" w:type="dxa"/>
            </w:tcMar>
            <w:vAlign w:val="center"/>
          </w:tcPr>
          <w:p w14:paraId="21869417">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 Allow Change □ Must Keep Unchanged</w:t>
            </w:r>
          </w:p>
        </w:tc>
        <w:tc>
          <w:tcPr>
            <w:tcW w:w="1577" w:type="dxa"/>
            <w:tcBorders>
              <w:top w:val="single" w:color="CBCDD1" w:sz="0" w:space="0"/>
              <w:left w:val="single" w:color="9A9A9A" w:sz="0" w:space="0"/>
              <w:bottom w:val="single" w:color="CBCDD1" w:sz="0" w:space="0"/>
              <w:right w:val="single" w:color="CBCDD1" w:sz="0" w:space="0"/>
            </w:tcBorders>
            <w:tcMar>
              <w:top w:w="180" w:type="dxa"/>
              <w:left w:w="270" w:type="dxa"/>
              <w:bottom w:w="180" w:type="dxa"/>
              <w:right w:w="270" w:type="dxa"/>
            </w:tcMar>
            <w:vAlign w:val="center"/>
          </w:tcPr>
          <w:p w14:paraId="19218BAE">
            <w:pPr>
              <w:snapToGrid/>
              <w:spacing w:before="0" w:after="0" w:line="420" w:lineRule="auto"/>
              <w:jc w:val="left"/>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rPr>
              <w:t>□ Modify DNS/configuration □ Plan large Layer 2 network</w:t>
            </w:r>
          </w:p>
        </w:tc>
      </w:tr>
    </w:tbl>
    <w:p w14:paraId="3244CD19">
      <w:pPr>
        <w:pBdr>
          <w:bottom w:val="single" w:color="1C1F23" w:sz="8" w:space="0"/>
        </w:pBdr>
        <w:ind w:left="0"/>
        <w:rPr>
          <w:rFonts w:hint="eastAsia" w:ascii="微软雅黑" w:hAnsi="微软雅黑" w:eastAsia="微软雅黑" w:cs="微软雅黑"/>
        </w:rPr>
      </w:pPr>
    </w:p>
    <w:p w14:paraId="0C6F6FED">
      <w:pPr>
        <w:pStyle w:val="2"/>
        <w:pBdr>
          <w:bottom w:val="single" w:color="auto" w:sz="2" w:space="0"/>
        </w:pBdr>
        <w:snapToGrid/>
        <w:spacing w:before="225" w:after="0" w:line="360" w:lineRule="auto"/>
        <w:ind w:left="0" w:right="0" w:firstLine="0"/>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30"/>
          <w:u w:val="none"/>
          <w:shd w:val="clear" w:color="auto" w:fill="FFFFFF"/>
        </w:rPr>
        <w:t>Migration Delivery – [Pre-Deployment Mandatory Checklist]</w:t>
      </w:r>
    </w:p>
    <w:p w14:paraId="324B890E">
      <w:pPr>
        <w:pStyle w:val="3"/>
        <w:pBdr>
          <w:bottom w:val="single" w:color="auto" w:sz="2" w:space="0"/>
        </w:pBdr>
        <w:snapToGrid/>
        <w:spacing w:before="203" w:after="0" w:line="360" w:lineRule="auto"/>
        <w:ind w:left="0" w:right="0" w:firstLine="0"/>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7"/>
          <w:u w:val="none"/>
          <w:shd w:val="clear" w:color="auto" w:fill="FFFFFF"/>
        </w:rPr>
        <w:t>Appendix: Pre-Migration Environment Check Checklist</w:t>
      </w:r>
    </w:p>
    <w:p w14:paraId="346A9E35">
      <w:pPr>
        <w:pBdr>
          <w:bottom w:val="single" w:color="auto" w:sz="2" w:space="0"/>
        </w:pBdr>
        <w:snapToGrid/>
        <w:spacing w:line="360" w:lineRule="auto"/>
        <w:ind w:left="0" w:firstLine="0"/>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Please verify each item before starting migration; otherwise, migration failure or data corruption may occur.</w:t>
      </w:r>
    </w:p>
    <w:p w14:paraId="3B113BCD">
      <w:pPr>
        <w:pStyle w:val="4"/>
        <w:pBdr>
          <w:bottom w:val="single" w:color="auto" w:sz="2" w:space="0"/>
        </w:pBdr>
        <w:snapToGrid/>
        <w:spacing w:before="180" w:after="0" w:line="360" w:lineRule="auto"/>
        <w:ind w:left="0" w:right="0" w:firstLine="0"/>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shd w:val="clear" w:color="auto" w:fill="FFFFFF"/>
        </w:rPr>
        <w:t>1. Source End Environment Check (VMware)</w:t>
      </w:r>
    </w:p>
    <w:p w14:paraId="52C1D55D">
      <w:pPr>
        <w:numPr>
          <w:ilvl w:val="0"/>
          <w:numId w:val="6"/>
        </w:numPr>
        <w:pBdr>
          <w:bottom w:val="single" w:color="auto" w:sz="2" w:space="0"/>
        </w:pBdr>
        <w:snapToGrid/>
        <w:spacing w:before="120" w:after="120" w:line="360" w:lineRule="auto"/>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Snapshot Cleanup: Check for unsynced snapshots on VMs to be migrated. Snapshots must be merged/deleted; otherwise, I/O locking during SCMT migration may cause errors and extremely slow migration speeds.</w:t>
      </w:r>
    </w:p>
    <w:p w14:paraId="5C224405">
      <w:pPr>
        <w:numPr>
          <w:ilvl w:val="0"/>
          <w:numId w:val="6"/>
        </w:numPr>
        <w:pBdr>
          <w:bottom w:val="single" w:color="auto" w:sz="2" w:space="0"/>
        </w:pBdr>
        <w:snapToGrid/>
        <w:spacing w:before="120" w:after="120" w:line="360" w:lineRule="auto"/>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Independent Disk Confirmation: Check for "independent persistent" or "independent non-persistent" disks. SCMT cannot extract data from such disks; change to "dependent" mode or copy via the agent.</w:t>
      </w:r>
    </w:p>
    <w:p w14:paraId="7641EE53">
      <w:pPr>
        <w:numPr>
          <w:ilvl w:val="0"/>
          <w:numId w:val="6"/>
        </w:numPr>
        <w:pBdr>
          <w:bottom w:val="single" w:color="auto" w:sz="2" w:space="0"/>
        </w:pBdr>
        <w:snapToGrid/>
        <w:spacing w:before="120" w:after="120" w:line="360" w:lineRule="auto"/>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CD-ROM Mounting: Ensure all VM CD/DVD drives are disconnected (status: "Disconnected") to prevent startup failures on the target end after takeover.</w:t>
      </w:r>
    </w:p>
    <w:p w14:paraId="512096BE">
      <w:pPr>
        <w:numPr>
          <w:ilvl w:val="0"/>
          <w:numId w:val="6"/>
        </w:numPr>
        <w:pBdr>
          <w:bottom w:val="single" w:color="auto" w:sz="2" w:space="0"/>
        </w:pBdr>
        <w:snapToGrid/>
        <w:spacing w:before="120" w:after="120" w:line="360" w:lineRule="auto"/>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Antivirus Software: If the source VM has antivirus software installed (e.g., 360, Kaspersky, Symantec), uninstall or exit it during migration to avoid blocking the SCMT agent.</w:t>
      </w:r>
    </w:p>
    <w:p w14:paraId="76F7CD97">
      <w:pPr>
        <w:pStyle w:val="4"/>
        <w:pBdr>
          <w:bottom w:val="single" w:color="auto" w:sz="2" w:space="0"/>
        </w:pBdr>
        <w:snapToGrid/>
        <w:spacing w:before="180" w:after="0" w:line="360" w:lineRule="auto"/>
        <w:ind w:left="0" w:right="0" w:firstLine="0"/>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shd w:val="clear" w:color="auto" w:fill="FFFFFF"/>
        </w:rPr>
        <w:t>2. Network Check</w:t>
      </w:r>
    </w:p>
    <w:p w14:paraId="3F042B4D">
      <w:pPr>
        <w:numPr>
          <w:ilvl w:val="0"/>
          <w:numId w:val="7"/>
        </w:numPr>
        <w:pBdr>
          <w:bottom w:val="single" w:color="auto" w:sz="2" w:space="0"/>
        </w:pBdr>
        <w:snapToGrid/>
        <w:spacing w:before="120" w:after="120" w:line="360" w:lineRule="auto"/>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Management Communication: The SCMT migration platform must access the source vCenter (TCP 443) and ESXi hosts (TCP 443, 902).</w:t>
      </w:r>
    </w:p>
    <w:p w14:paraId="4BC2EC79">
      <w:pPr>
        <w:numPr>
          <w:ilvl w:val="0"/>
          <w:numId w:val="7"/>
        </w:numPr>
        <w:pBdr>
          <w:bottom w:val="single" w:color="auto" w:sz="2" w:space="0"/>
        </w:pBdr>
        <w:snapToGrid/>
        <w:spacing w:before="120" w:after="120" w:line="360" w:lineRule="auto"/>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Data Transmission: The target HCI must access the source VM’s business IP (point-to-point mode, ports TCP 8000/22/443).</w:t>
      </w:r>
    </w:p>
    <w:p w14:paraId="5C54742E">
      <w:pPr>
        <w:numPr>
          <w:ilvl w:val="0"/>
          <w:numId w:val="7"/>
        </w:numPr>
        <w:pBdr>
          <w:bottom w:val="single" w:color="auto" w:sz="2" w:space="0"/>
        </w:pBdr>
        <w:snapToGrid/>
        <w:spacing w:before="120" w:after="120" w:line="360" w:lineRule="auto"/>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Firewall Policy: Ensure intermediate firewalls do not block data transmission ports between the SCMT console and source/target ends.</w:t>
      </w:r>
    </w:p>
    <w:p w14:paraId="2D42C1A6">
      <w:pPr>
        <w:pStyle w:val="4"/>
        <w:pBdr>
          <w:bottom w:val="single" w:color="auto" w:sz="2" w:space="0"/>
        </w:pBdr>
        <w:snapToGrid/>
        <w:spacing w:before="180" w:after="0" w:line="360" w:lineRule="auto"/>
        <w:ind w:left="0" w:right="0" w:firstLine="0"/>
        <w:rPr>
          <w:rFonts w:hint="eastAsia" w:ascii="微软雅黑" w:hAnsi="微软雅黑" w:eastAsia="微软雅黑" w:cs="微软雅黑"/>
        </w:rPr>
      </w:pPr>
      <w:r>
        <w:rPr>
          <w:rFonts w:hint="eastAsia" w:ascii="微软雅黑" w:hAnsi="微软雅黑" w:eastAsia="微软雅黑" w:cs="微软雅黑"/>
          <w:b/>
          <w:i w:val="0"/>
          <w:strike w:val="0"/>
          <w:color w:val="000000"/>
          <w:spacing w:val="0"/>
          <w:sz w:val="24"/>
          <w:u w:val="none"/>
          <w:shd w:val="clear" w:color="auto" w:fill="FFFFFF"/>
        </w:rPr>
        <w:t>3. Account &amp; Permissions</w:t>
      </w:r>
    </w:p>
    <w:p w14:paraId="0A7C31B3">
      <w:pPr>
        <w:numPr>
          <w:ilvl w:val="0"/>
          <w:numId w:val="8"/>
        </w:numPr>
        <w:pBdr>
          <w:bottom w:val="single" w:color="auto" w:sz="2" w:space="0"/>
        </w:pBdr>
        <w:snapToGrid/>
        <w:spacing w:before="120" w:after="120" w:line="360" w:lineRule="auto"/>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vCenter Permissions: The provided migration account must have basic permissions such as "Export OVF," "Create Snapshot," and "Clone."</w:t>
      </w:r>
    </w:p>
    <w:p w14:paraId="28C600CB">
      <w:pPr>
        <w:numPr>
          <w:ilvl w:val="0"/>
          <w:numId w:val="8"/>
        </w:numPr>
        <w:pBdr>
          <w:bottom w:val="single" w:color="auto" w:sz="2" w:space="0"/>
        </w:pBdr>
        <w:snapToGrid/>
        <w:spacing w:before="120" w:after="120" w:line="360" w:lineRule="auto"/>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OS Administrator: Must have the Administrator (Windows) or Root (Linux) password for VMs to be migrated for agent installation or troubleshooting.</w:t>
      </w:r>
    </w:p>
    <w:p w14:paraId="08100F40">
      <w:pPr>
        <w:numPr>
          <w:ilvl w:val="0"/>
          <w:numId w:val="8"/>
        </w:numPr>
        <w:pBdr>
          <w:bottom w:val="single" w:color="auto" w:sz="2" w:space="0"/>
        </w:pBdr>
        <w:snapToGrid/>
        <w:spacing w:before="120" w:after="120" w:line="360" w:lineRule="auto"/>
        <w:rPr>
          <w:rFonts w:hint="eastAsia" w:ascii="微软雅黑" w:hAnsi="微软雅黑" w:eastAsia="微软雅黑" w:cs="微软雅黑"/>
        </w:rPr>
      </w:pPr>
      <w:r>
        <w:rPr>
          <w:rFonts w:hint="eastAsia" w:ascii="微软雅黑" w:hAnsi="微软雅黑" w:eastAsia="微软雅黑" w:cs="微软雅黑"/>
          <w:i w:val="0"/>
          <w:strike w:val="0"/>
          <w:color w:val="000000"/>
          <w:spacing w:val="0"/>
          <w:sz w:val="24"/>
          <w:u w:val="none"/>
          <w:shd w:val="clear" w:color="auto" w:fill="FFFFFF"/>
        </w:rPr>
        <w:t>AD Domain Administrator: Prepare a domain administrator account for domain controller migration or SQL Server cluster migration.</w:t>
      </w:r>
    </w:p>
    <w:p w14:paraId="69DB6D4D">
      <w:pPr>
        <w:rPr>
          <w:rFonts w:hint="eastAsia" w:ascii="微软雅黑" w:hAnsi="微软雅黑" w:eastAsia="微软雅黑" w:cs="微软雅黑"/>
        </w:rPr>
      </w:pPr>
    </w:p>
    <w:p w14:paraId="79C72375">
      <w:pPr>
        <w:pStyle w:val="2"/>
        <w:keepNext w:val="0"/>
        <w:keepLines w:val="0"/>
        <w:widowControl/>
        <w:suppressLineNumbers w:val="0"/>
        <w:spacing w:before="0" w:beforeAutospacing="0" w:after="0" w:afterAutospacing="0" w:line="30" w:lineRule="atLeast"/>
        <w:ind w:left="0" w:right="0"/>
        <w:jc w:val="both"/>
      </w:pPr>
      <w:r>
        <w:rPr>
          <w:rFonts w:ascii="PingFang SC" w:hAnsi="PingFang SC" w:eastAsia="PingFang SC" w:cs="PingFang SC"/>
          <w:b/>
          <w:bCs/>
          <w:i w:val="0"/>
          <w:iCs w:val="0"/>
          <w:color w:val="000000"/>
          <w:spacing w:val="0"/>
          <w:w w:val="100"/>
          <w:sz w:val="30"/>
          <w:szCs w:val="30"/>
          <w:shd w:val="clear" w:fill="FFFFFF"/>
          <w:vertAlign w:val="baseline"/>
        </w:rPr>
        <w:t>Guidelines for Confirming Compatibility with Third-Party System Integrations</w:t>
      </w:r>
    </w:p>
    <w:p w14:paraId="096414C4">
      <w:pPr>
        <w:pStyle w:val="3"/>
        <w:keepNext w:val="0"/>
        <w:keepLines w:val="0"/>
        <w:widowControl/>
        <w:suppressLineNumbers w:val="0"/>
        <w:spacing w:before="203" w:beforeAutospacing="0" w:after="0" w:afterAutospacing="0" w:line="30" w:lineRule="atLeast"/>
        <w:ind w:left="0" w:right="0"/>
        <w:jc w:val="both"/>
      </w:pPr>
      <w:r>
        <w:rPr>
          <w:rFonts w:hint="eastAsia" w:ascii="PingFang SC" w:hAnsi="PingFang SC" w:eastAsia="PingFang SC" w:cs="PingFang SC"/>
          <w:b/>
          <w:bCs/>
          <w:i w:val="0"/>
          <w:iCs w:val="0"/>
          <w:color w:val="000000"/>
          <w:spacing w:val="0"/>
          <w:w w:val="100"/>
          <w:sz w:val="27"/>
          <w:szCs w:val="27"/>
          <w:shd w:val="clear" w:fill="FFFFFF"/>
          <w:vertAlign w:val="baseline"/>
        </w:rPr>
        <w:t>4.1 Background and Core Objectives</w:t>
      </w:r>
    </w:p>
    <w:p w14:paraId="203BA0E7">
      <w:pPr>
        <w:pStyle w:val="6"/>
        <w:keepNext w:val="0"/>
        <w:keepLines w:val="0"/>
        <w:widowControl/>
        <w:suppressLineNumbers w:val="0"/>
        <w:spacing w:before="0" w:beforeAutospacing="0" w:after="160" w:afterAutospacing="0" w:line="30" w:lineRule="atLeast"/>
        <w:ind w:left="0" w:right="0"/>
        <w:jc w:val="both"/>
      </w:pPr>
      <w:r>
        <w:rPr>
          <w:rFonts w:hint="eastAsia" w:ascii="PingFang SC" w:hAnsi="PingFang SC" w:eastAsia="PingFang SC" w:cs="PingFang SC"/>
          <w:b w:val="0"/>
          <w:bCs w:val="0"/>
          <w:i w:val="0"/>
          <w:iCs w:val="0"/>
          <w:color w:val="000000"/>
          <w:spacing w:val="0"/>
          <w:w w:val="100"/>
          <w:sz w:val="24"/>
          <w:szCs w:val="24"/>
          <w:shd w:val="clear" w:fill="FFFFFF"/>
          <w:vertAlign w:val="baseline"/>
        </w:rPr>
        <w:t>Existing migration assessment tools cover core dimensions such as physical resources, virtual machines, and migration methods, but exclude integration scenarios between the VMware platform and third-party systems (backup, monitoring, disaster recovery). These third-party systems are directly related to business data security, operational visibility, and fault emergency recovery capabilities post-migration. Failure to confirm compatibility in advance may result in risks such as backup failure, monitoring disconnection, and ineffective disaster recovery mechanisms after migration. Therefore, pre-sales teams and engineers must proactively confirm the following integration details of third-party systems with customers during the migration planning phase to ensure seamless compatibility between the hyper-converged platform and existing third-party systems.</w:t>
      </w:r>
    </w:p>
    <w:p w14:paraId="3261A8DE">
      <w:pPr>
        <w:pStyle w:val="3"/>
        <w:keepNext w:val="0"/>
        <w:keepLines w:val="0"/>
        <w:widowControl/>
        <w:suppressLineNumbers w:val="0"/>
        <w:spacing w:before="203" w:beforeAutospacing="0" w:after="0" w:afterAutospacing="0" w:line="30" w:lineRule="atLeast"/>
        <w:ind w:left="0" w:right="0"/>
        <w:jc w:val="both"/>
      </w:pPr>
      <w:r>
        <w:rPr>
          <w:rFonts w:hint="eastAsia" w:ascii="PingFang SC" w:hAnsi="PingFang SC" w:eastAsia="PingFang SC" w:cs="PingFang SC"/>
          <w:b/>
          <w:bCs/>
          <w:i w:val="0"/>
          <w:iCs w:val="0"/>
          <w:color w:val="000000"/>
          <w:spacing w:val="0"/>
          <w:w w:val="100"/>
          <w:sz w:val="27"/>
          <w:szCs w:val="27"/>
          <w:shd w:val="clear" w:fill="FFFFFF"/>
          <w:vertAlign w:val="baseline"/>
        </w:rPr>
        <w:t>4.2 Confirmation of Backup System Integration Compatibility</w:t>
      </w:r>
    </w:p>
    <w:p w14:paraId="01801CDA">
      <w:pPr>
        <w:pStyle w:val="4"/>
        <w:keepNext w:val="0"/>
        <w:keepLines w:val="0"/>
        <w:widowControl/>
        <w:suppressLineNumbers w:val="0"/>
        <w:spacing w:before="0" w:beforeAutospacing="0" w:after="0" w:afterAutospacing="0" w:line="30" w:lineRule="atLeast"/>
        <w:ind w:left="0" w:right="0"/>
        <w:jc w:val="both"/>
      </w:pPr>
      <w:r>
        <w:rPr>
          <w:rFonts w:hint="eastAsia" w:ascii="PingFang SC" w:hAnsi="PingFang SC" w:eastAsia="PingFang SC" w:cs="PingFang SC"/>
          <w:b/>
          <w:bCs/>
          <w:i w:val="0"/>
          <w:iCs w:val="0"/>
          <w:color w:val="000000"/>
          <w:spacing w:val="0"/>
          <w:w w:val="100"/>
          <w:sz w:val="24"/>
          <w:szCs w:val="24"/>
          <w:shd w:val="clear" w:fill="FFFFFF"/>
          <w:vertAlign w:val="baseline"/>
        </w:rPr>
        <w:t>4.2.1 Typical Integration Tools and Support Status</w:t>
      </w:r>
    </w:p>
    <w:p w14:paraId="5AE2067C">
      <w:pPr>
        <w:pStyle w:val="6"/>
        <w:keepNext w:val="0"/>
        <w:keepLines w:val="0"/>
        <w:widowControl/>
        <w:suppressLineNumbers w:val="0"/>
        <w:spacing w:before="0" w:beforeAutospacing="0" w:after="160" w:afterAutospacing="0" w:line="30" w:lineRule="atLeast"/>
        <w:ind w:left="0" w:right="0"/>
        <w:jc w:val="both"/>
      </w:pPr>
      <w:r>
        <w:rPr>
          <w:rFonts w:hint="eastAsia" w:ascii="PingFang SC" w:hAnsi="PingFang SC" w:eastAsia="PingFang SC" w:cs="PingFang SC"/>
          <w:b w:val="0"/>
          <w:bCs w:val="0"/>
          <w:i w:val="0"/>
          <w:iCs w:val="0"/>
          <w:color w:val="000000"/>
          <w:spacing w:val="0"/>
          <w:w w:val="100"/>
          <w:sz w:val="24"/>
          <w:szCs w:val="24"/>
          <w:shd w:val="clear" w:fill="FFFFFF"/>
          <w:vertAlign w:val="baseline"/>
        </w:rPr>
        <w:t>(Note: "Support Status" below refers specifically to agentless mode; all tools support agent-based mode by default)</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5280"/>
        <w:gridCol w:w="7840"/>
        <w:gridCol w:w="8960"/>
      </w:tblGrid>
      <w:tr w14:paraId="504B515C">
        <w:trPr>
          <w:trHeight w:val="540" w:hRule="atLeast"/>
        </w:trPr>
        <w:tc>
          <w:tcPr>
            <w:tcW w:w="5280" w:type="dxa"/>
            <w:tcBorders>
              <w:top w:val="single" w:color="CBCDD1" w:sz="2" w:space="0"/>
              <w:left w:val="single" w:color="CBCDD1" w:sz="2" w:space="0"/>
              <w:bottom w:val="single" w:color="CBCDD1" w:sz="2" w:space="0"/>
              <w:right w:val="single" w:color="9A9A9A" w:sz="12" w:space="0"/>
            </w:tcBorders>
            <w:shd w:val="clear" w:color="auto" w:fill="F2F2F2"/>
            <w:tcMar>
              <w:top w:w="240" w:type="dxa"/>
              <w:left w:w="360" w:type="dxa"/>
              <w:bottom w:w="240" w:type="dxa"/>
              <w:right w:w="360" w:type="dxa"/>
            </w:tcMar>
            <w:vAlign w:val="center"/>
          </w:tcPr>
          <w:p w14:paraId="14600EB5">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bCs/>
                <w:i w:val="0"/>
                <w:iCs w:val="0"/>
                <w:color w:val="000000"/>
                <w:spacing w:val="0"/>
                <w:w w:val="100"/>
                <w:sz w:val="24"/>
                <w:szCs w:val="24"/>
                <w:vertAlign w:val="baseline"/>
              </w:rPr>
              <w:t>Third-Party Backup Tool</w:t>
            </w:r>
          </w:p>
        </w:tc>
        <w:tc>
          <w:tcPr>
            <w:tcW w:w="7840" w:type="dxa"/>
            <w:tcBorders>
              <w:top w:val="single" w:color="CBCDD1" w:sz="2" w:space="0"/>
              <w:left w:val="single" w:color="9A9A9A" w:sz="2" w:space="0"/>
              <w:bottom w:val="single" w:color="CBCDD1" w:sz="2" w:space="0"/>
              <w:right w:val="single" w:color="9A9A9A" w:sz="12" w:space="0"/>
            </w:tcBorders>
            <w:shd w:val="clear" w:color="auto" w:fill="F2F2F2"/>
            <w:tcMar>
              <w:top w:w="240" w:type="dxa"/>
              <w:left w:w="360" w:type="dxa"/>
              <w:bottom w:w="240" w:type="dxa"/>
              <w:right w:w="360" w:type="dxa"/>
            </w:tcMar>
            <w:vAlign w:val="center"/>
          </w:tcPr>
          <w:p w14:paraId="459AD107">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bCs/>
                <w:i w:val="0"/>
                <w:iCs w:val="0"/>
                <w:color w:val="000000"/>
                <w:spacing w:val="0"/>
                <w:w w:val="100"/>
                <w:sz w:val="24"/>
                <w:szCs w:val="24"/>
                <w:vertAlign w:val="baseline"/>
              </w:rPr>
              <w:t>Support Status of Sangfor HCI Agentless Mode</w:t>
            </w:r>
          </w:p>
        </w:tc>
        <w:tc>
          <w:tcPr>
            <w:tcW w:w="8960" w:type="dxa"/>
            <w:tcBorders>
              <w:top w:val="single" w:color="CBCDD1" w:sz="2" w:space="0"/>
              <w:left w:val="single" w:color="9A9A9A" w:sz="2" w:space="0"/>
              <w:bottom w:val="single" w:color="CBCDD1" w:sz="2" w:space="0"/>
              <w:right w:val="single" w:color="CBCDD1" w:sz="2" w:space="0"/>
            </w:tcBorders>
            <w:shd w:val="clear" w:color="auto" w:fill="F2F2F2"/>
            <w:tcMar>
              <w:top w:w="240" w:type="dxa"/>
              <w:left w:w="360" w:type="dxa"/>
              <w:bottom w:w="240" w:type="dxa"/>
              <w:right w:w="360" w:type="dxa"/>
            </w:tcMar>
            <w:vAlign w:val="center"/>
          </w:tcPr>
          <w:p w14:paraId="2BE99AB9">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bCs/>
                <w:i w:val="0"/>
                <w:iCs w:val="0"/>
                <w:color w:val="000000"/>
                <w:spacing w:val="0"/>
                <w:w w:val="100"/>
                <w:sz w:val="24"/>
                <w:szCs w:val="24"/>
                <w:vertAlign w:val="baseline"/>
              </w:rPr>
              <w:t>Remarks</w:t>
            </w:r>
          </w:p>
        </w:tc>
      </w:tr>
      <w:tr w14:paraId="0619B6E4">
        <w:trPr>
          <w:trHeight w:val="540" w:hRule="atLeast"/>
        </w:trPr>
        <w:tc>
          <w:tcPr>
            <w:tcW w:w="5280" w:type="dxa"/>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1BA9948A">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NetBackup (NBU)</w:t>
            </w:r>
          </w:p>
        </w:tc>
        <w:tc>
          <w:tcPr>
            <w:tcW w:w="7840" w:type="dxa"/>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38151362">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Fully Supported</w:t>
            </w:r>
          </w:p>
        </w:tc>
        <w:tc>
          <w:tcPr>
            <w:tcW w:w="8960" w:type="dxa"/>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4949A915">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Manages over 100 NBU devices; aligns with SCP backup retention periods</w:t>
            </w:r>
          </w:p>
        </w:tc>
      </w:tr>
      <w:tr w14:paraId="62F5DEBE">
        <w:trPr>
          <w:trHeight w:val="540" w:hRule="atLeast"/>
        </w:trPr>
        <w:tc>
          <w:tcPr>
            <w:tcW w:w="5280" w:type="dxa"/>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1D8932D8">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Veeam Backup &amp; Replication</w:t>
            </w:r>
          </w:p>
        </w:tc>
        <w:tc>
          <w:tcPr>
            <w:tcW w:w="7840" w:type="dxa"/>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1E126405">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Planned Support (Early 2026)</w:t>
            </w:r>
          </w:p>
        </w:tc>
        <w:tc>
          <w:tcPr>
            <w:tcW w:w="8960" w:type="dxa"/>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2EF0346C">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Agent-based mode available during the transition period</w:t>
            </w:r>
          </w:p>
        </w:tc>
      </w:tr>
      <w:tr w14:paraId="40A43BD1">
        <w:trPr>
          <w:trHeight w:val="540" w:hRule="atLeast"/>
        </w:trPr>
        <w:tc>
          <w:tcPr>
            <w:tcW w:w="5280" w:type="dxa"/>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1422263A">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EISOO Backup Storage Cabinet</w:t>
            </w:r>
          </w:p>
        </w:tc>
        <w:tc>
          <w:tcPr>
            <w:tcW w:w="7840" w:type="dxa"/>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0F16E773">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Fully Supported</w:t>
            </w:r>
          </w:p>
        </w:tc>
        <w:tc>
          <w:tcPr>
            <w:tcW w:w="8960" w:type="dxa"/>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65B1B99F">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Natively compatible with agentless mode; supports mainstream backup policies</w:t>
            </w:r>
          </w:p>
        </w:tc>
      </w:tr>
      <w:tr w14:paraId="3C531862">
        <w:trPr>
          <w:trHeight w:val="540" w:hRule="atLeast"/>
        </w:trPr>
        <w:tc>
          <w:tcPr>
            <w:tcW w:w="5280" w:type="dxa"/>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1AB47E17">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Commvault Simpana</w:t>
            </w:r>
          </w:p>
        </w:tc>
        <w:tc>
          <w:tcPr>
            <w:tcW w:w="7840" w:type="dxa"/>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278EEF46">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Compatibility Verification Required</w:t>
            </w:r>
          </w:p>
        </w:tc>
        <w:tc>
          <w:tcPr>
            <w:tcW w:w="8960" w:type="dxa"/>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121BB183">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Direct integration via agent-based mode; agentless mode requires technical team evaluation</w:t>
            </w:r>
          </w:p>
        </w:tc>
      </w:tr>
    </w:tbl>
    <w:p w14:paraId="51BCAD0A">
      <w:pPr>
        <w:pStyle w:val="4"/>
        <w:keepNext w:val="0"/>
        <w:keepLines w:val="0"/>
        <w:widowControl/>
        <w:suppressLineNumbers w:val="0"/>
        <w:spacing w:before="180" w:beforeAutospacing="0" w:after="0" w:afterAutospacing="0" w:line="30" w:lineRule="atLeast"/>
        <w:ind w:left="0" w:right="0"/>
        <w:jc w:val="both"/>
      </w:pPr>
      <w:r>
        <w:rPr>
          <w:rFonts w:hint="eastAsia" w:ascii="PingFang SC" w:hAnsi="PingFang SC" w:eastAsia="PingFang SC" w:cs="PingFang SC"/>
          <w:b/>
          <w:bCs/>
          <w:i w:val="0"/>
          <w:iCs w:val="0"/>
          <w:color w:val="000000"/>
          <w:spacing w:val="0"/>
          <w:w w:val="100"/>
          <w:sz w:val="24"/>
          <w:szCs w:val="24"/>
          <w:shd w:val="clear" w:fill="FFFFFF"/>
          <w:vertAlign w:val="baseline"/>
        </w:rPr>
        <w:t>4.2.2 Core Capabilities to Confirm with Customers</w:t>
      </w:r>
    </w:p>
    <w:tbl>
      <w:tblPr>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2252"/>
        <w:gridCol w:w="3767"/>
        <w:gridCol w:w="3768"/>
      </w:tblGrid>
      <w:tr w14:paraId="7CBEFA6F">
        <w:trPr>
          <w:trHeight w:val="540" w:hRule="atLeast"/>
        </w:trPr>
        <w:tc>
          <w:tcPr>
            <w:tcW w:w="1134" w:type="pct"/>
            <w:tcBorders>
              <w:top w:val="single" w:color="CBCDD1" w:sz="2" w:space="0"/>
              <w:left w:val="single" w:color="CBCDD1" w:sz="2" w:space="0"/>
              <w:bottom w:val="single" w:color="CBCDD1" w:sz="2" w:space="0"/>
              <w:right w:val="single" w:color="9A9A9A" w:sz="12" w:space="0"/>
            </w:tcBorders>
            <w:shd w:val="clear" w:color="auto" w:fill="F2F2F2"/>
            <w:tcMar>
              <w:top w:w="240" w:type="dxa"/>
              <w:left w:w="360" w:type="dxa"/>
              <w:bottom w:w="240" w:type="dxa"/>
              <w:right w:w="360" w:type="dxa"/>
            </w:tcMar>
            <w:vAlign w:val="center"/>
          </w:tcPr>
          <w:p w14:paraId="4287B057">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bCs/>
                <w:i w:val="0"/>
                <w:iCs w:val="0"/>
                <w:color w:val="000000"/>
                <w:spacing w:val="0"/>
                <w:w w:val="100"/>
                <w:sz w:val="24"/>
                <w:szCs w:val="24"/>
                <w:vertAlign w:val="baseline"/>
              </w:rPr>
              <w:t>Confirmation Dimension</w:t>
            </w:r>
          </w:p>
        </w:tc>
        <w:tc>
          <w:tcPr>
            <w:tcW w:w="1932" w:type="pct"/>
            <w:tcBorders>
              <w:top w:val="single" w:color="CBCDD1" w:sz="2" w:space="0"/>
              <w:left w:val="single" w:color="9A9A9A" w:sz="2" w:space="0"/>
              <w:bottom w:val="single" w:color="CBCDD1" w:sz="2" w:space="0"/>
              <w:right w:val="single" w:color="9A9A9A" w:sz="12" w:space="0"/>
            </w:tcBorders>
            <w:shd w:val="clear" w:color="auto" w:fill="F2F2F2"/>
            <w:tcMar>
              <w:top w:w="240" w:type="dxa"/>
              <w:left w:w="360" w:type="dxa"/>
              <w:bottom w:w="240" w:type="dxa"/>
              <w:right w:w="360" w:type="dxa"/>
            </w:tcMar>
            <w:vAlign w:val="center"/>
          </w:tcPr>
          <w:p w14:paraId="6F011FAA">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bCs/>
                <w:i w:val="0"/>
                <w:iCs w:val="0"/>
                <w:color w:val="000000"/>
                <w:spacing w:val="0"/>
                <w:w w:val="100"/>
                <w:sz w:val="24"/>
                <w:szCs w:val="24"/>
                <w:vertAlign w:val="baseline"/>
              </w:rPr>
              <w:t>Specific Confirmation Points (Directly Usable for Customer Communication)</w:t>
            </w:r>
          </w:p>
        </w:tc>
        <w:tc>
          <w:tcPr>
            <w:tcW w:w="1932" w:type="pct"/>
            <w:tcBorders>
              <w:top w:val="single" w:color="CBCDD1" w:sz="2" w:space="0"/>
              <w:left w:val="single" w:color="9A9A9A" w:sz="2" w:space="0"/>
              <w:bottom w:val="single" w:color="CBCDD1" w:sz="2" w:space="0"/>
              <w:right w:val="single" w:color="CBCDD1" w:sz="2" w:space="0"/>
            </w:tcBorders>
            <w:shd w:val="clear" w:color="auto" w:fill="F2F2F2"/>
            <w:tcMar>
              <w:top w:w="240" w:type="dxa"/>
              <w:left w:w="360" w:type="dxa"/>
              <w:bottom w:w="240" w:type="dxa"/>
              <w:right w:w="360" w:type="dxa"/>
            </w:tcMar>
            <w:vAlign w:val="center"/>
          </w:tcPr>
          <w:p w14:paraId="039F2B74">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bCs/>
                <w:i w:val="0"/>
                <w:iCs w:val="0"/>
                <w:color w:val="000000"/>
                <w:spacing w:val="0"/>
                <w:w w:val="100"/>
                <w:sz w:val="24"/>
                <w:szCs w:val="24"/>
                <w:vertAlign w:val="baseline"/>
              </w:rPr>
              <w:t>Compatibility Impact Description (Sangfor Capabilities)</w:t>
            </w:r>
          </w:p>
        </w:tc>
      </w:tr>
      <w:tr w14:paraId="71AE917B">
        <w:trPr>
          <w:trHeight w:val="540" w:hRule="atLeast"/>
        </w:trPr>
        <w:tc>
          <w:tcPr>
            <w:tcW w:w="1134" w:type="pct"/>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73B223B5">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Device Scale and Concurrency</w:t>
            </w:r>
          </w:p>
        </w:tc>
        <w:tc>
          <w:tcPr>
            <w:tcW w:w="1932" w:type="pct"/>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718507DC">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1. What is the current number of managed NBU devices? 2. What is the maximum number of concurrent backup tasks?</w:t>
            </w:r>
          </w:p>
        </w:tc>
        <w:tc>
          <w:tcPr>
            <w:tcW w:w="1932" w:type="pct"/>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549C045B">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Sangfor SCP supports managing over 100 NBU devices and handling high-concurrency backup tasks to meet customer scale requirements</w:t>
            </w:r>
          </w:p>
        </w:tc>
      </w:tr>
      <w:tr w14:paraId="752438EF">
        <w:trPr>
          <w:trHeight w:val="540" w:hRule="atLeast"/>
        </w:trPr>
        <w:tc>
          <w:tcPr>
            <w:tcW w:w="1134" w:type="pct"/>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6BC46F62">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Integration Architecture</w:t>
            </w:r>
          </w:p>
        </w:tc>
        <w:tc>
          <w:tcPr>
            <w:tcW w:w="1932" w:type="pct"/>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132E1E19">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1. Does the backup use "client agent mode" or "agentless mode"? 2. Does it rely on VMware-exclusive APIs (e.g., VADP) for data reading?</w:t>
            </w:r>
          </w:p>
        </w:tc>
        <w:tc>
          <w:tcPr>
            <w:tcW w:w="1932" w:type="pct"/>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0F36B763">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Sangfor supports agentless mode for NBU/EISOO; for scenarios relying on VMware APIs, switch to SCP-compatible API interfaces</w:t>
            </w:r>
          </w:p>
        </w:tc>
      </w:tr>
      <w:tr w14:paraId="2A361BB5">
        <w:trPr>
          <w:trHeight w:val="540" w:hRule="atLeast"/>
        </w:trPr>
        <w:tc>
          <w:tcPr>
            <w:tcW w:w="1134" w:type="pct"/>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7773C109">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Backup Retention Period</w:t>
            </w:r>
          </w:p>
        </w:tc>
        <w:tc>
          <w:tcPr>
            <w:tcW w:w="1932" w:type="pct"/>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0CFACBEE">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Are the backup data retention periods of current NBU and SCP consistent? Do financial services require retention periods exceeding 1 year?</w:t>
            </w:r>
          </w:p>
        </w:tc>
        <w:tc>
          <w:tcPr>
            <w:tcW w:w="1932" w:type="pct"/>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37F87916">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Sangfor SCP aligns with NBU retention periods and offers unlimited retention, meeting the 1+ year requirement for the financial industry</w:t>
            </w:r>
          </w:p>
        </w:tc>
      </w:tr>
      <w:tr w14:paraId="3203832E">
        <w:trPr>
          <w:trHeight w:val="540" w:hRule="atLeast"/>
        </w:trPr>
        <w:tc>
          <w:tcPr>
            <w:tcW w:w="1134" w:type="pct"/>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787286BA">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Single-Host Backup Policy</w:t>
            </w:r>
          </w:p>
        </w:tc>
        <w:tc>
          <w:tcPr>
            <w:tcW w:w="1932" w:type="pct"/>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289C5A54">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Does a single cloud host need dual "local + remote" backup policies (e.g., full + incremental backup / full backup)?</w:t>
            </w:r>
          </w:p>
        </w:tc>
        <w:tc>
          <w:tcPr>
            <w:tcW w:w="1932" w:type="pct"/>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14DC74B6">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Sangfor SCP supports two independent backup policies per cloud host, backing up to local and remote locations respectively</w:t>
            </w:r>
          </w:p>
        </w:tc>
      </w:tr>
      <w:tr w14:paraId="1E987CF3">
        <w:trPr>
          <w:trHeight w:val="540" w:hRule="atLeast"/>
        </w:trPr>
        <w:tc>
          <w:tcPr>
            <w:tcW w:w="1134" w:type="pct"/>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64EDC79C">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Backup Time Granularity</w:t>
            </w:r>
          </w:p>
        </w:tc>
        <w:tc>
          <w:tcPr>
            <w:tcW w:w="1932" w:type="pct"/>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1E37C030">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1. Does the backup start time require non-hourly intervals (e.g., 30-minute granularity)? 2. Does the minimum backup interval need to be less than 1 hour?</w:t>
            </w:r>
          </w:p>
        </w:tc>
        <w:tc>
          <w:tcPr>
            <w:tcW w:w="1932" w:type="pct"/>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5604670C">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Sangfor SCP optimizes backup start time to 30-minute granularity and minimum interval to 30 minutes, supporting flexible policies</w:t>
            </w:r>
          </w:p>
        </w:tc>
      </w:tr>
      <w:tr w14:paraId="09B6FAE3">
        <w:trPr>
          <w:trHeight w:val="540" w:hRule="atLeast"/>
        </w:trPr>
        <w:tc>
          <w:tcPr>
            <w:tcW w:w="1134" w:type="pct"/>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27F1C86B">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Manual Backup Requirements</w:t>
            </w:r>
          </w:p>
        </w:tc>
        <w:tc>
          <w:tcPr>
            <w:tcW w:w="1932" w:type="pct"/>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47878558">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Is temporary manual backup required (e.g., emergency business change scenarios)?</w:t>
            </w:r>
          </w:p>
        </w:tc>
        <w:tc>
          <w:tcPr>
            <w:tcW w:w="1932" w:type="pct"/>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3769777F">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Sangfor SCP supports manual backup to meet customers' emergency backup needs</w:t>
            </w:r>
          </w:p>
        </w:tc>
      </w:tr>
      <w:tr w14:paraId="6F0AF50E">
        <w:trPr>
          <w:trHeight w:val="540" w:hRule="atLeast"/>
        </w:trPr>
        <w:tc>
          <w:tcPr>
            <w:tcW w:w="1134" w:type="pct"/>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7DB03BCC">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Full Backup Frequency</w:t>
            </w:r>
          </w:p>
        </w:tc>
        <w:tc>
          <w:tcPr>
            <w:tcW w:w="1932" w:type="pct"/>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56456E4B">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Does core business require full backups more frequently than once a week (e.g., daily)?</w:t>
            </w:r>
          </w:p>
        </w:tc>
        <w:tc>
          <w:tcPr>
            <w:tcW w:w="1932" w:type="pct"/>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5807FE87">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Sangfor SCP optimizes full backup frequency to a minimum of once daily, meeting high-frequency full backup demands for core businesses</w:t>
            </w:r>
          </w:p>
        </w:tc>
      </w:tr>
      <w:tr w14:paraId="459FF195">
        <w:trPr>
          <w:trHeight w:val="540" w:hRule="atLeast"/>
        </w:trPr>
        <w:tc>
          <w:tcPr>
            <w:tcW w:w="1134" w:type="pct"/>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650FCA3B">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Recovery Mode Options</w:t>
            </w:r>
          </w:p>
        </w:tc>
        <w:tc>
          <w:tcPr>
            <w:tcW w:w="1932" w:type="pct"/>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115BEFBF">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When recovering a virtual machine, is it necessary to customize "power-on status" and "whether to retain MAC address"?</w:t>
            </w:r>
          </w:p>
        </w:tc>
        <w:tc>
          <w:tcPr>
            <w:tcW w:w="1932" w:type="pct"/>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5D5E170B">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Sangfor SCP supports selecting "power-on after recovery" and "MAC address retention" during recovery, enhancing recovery flexibility</w:t>
            </w:r>
          </w:p>
        </w:tc>
      </w:tr>
      <w:tr w14:paraId="0AA88F81">
        <w:trPr>
          <w:trHeight w:val="540" w:hRule="atLeast"/>
        </w:trPr>
        <w:tc>
          <w:tcPr>
            <w:tcW w:w="1134" w:type="pct"/>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79A62B10">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Encrypted Transmission Toggle</w:t>
            </w:r>
          </w:p>
        </w:tc>
        <w:tc>
          <w:tcPr>
            <w:tcW w:w="1932" w:type="pct"/>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1CF97940">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Is flexible enabling/disabling of encrypted backup data transmission required (balancing performance and security)?</w:t>
            </w:r>
          </w:p>
        </w:tc>
        <w:tc>
          <w:tcPr>
            <w:tcW w:w="1932" w:type="pct"/>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7E30695E">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Sangfor SCP supports customizable encrypted transmission toggle, allowing customers to make independent choices based on resource conditions</w:t>
            </w:r>
          </w:p>
        </w:tc>
      </w:tr>
      <w:tr w14:paraId="5E915BCE">
        <w:trPr>
          <w:trHeight w:val="540" w:hRule="atLeast"/>
        </w:trPr>
        <w:tc>
          <w:tcPr>
            <w:tcW w:w="1134" w:type="pct"/>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0B7614C4">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Policy Name Consistency</w:t>
            </w:r>
          </w:p>
        </w:tc>
        <w:tc>
          <w:tcPr>
            <w:tcW w:w="1932" w:type="pct"/>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1FF30009">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Do current NBU backup policy names contain UUID identifiers (prone to garbled display)?</w:t>
            </w:r>
          </w:p>
        </w:tc>
        <w:tc>
          <w:tcPr>
            <w:tcW w:w="1932" w:type="pct"/>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3E3FF82D">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Sangfor SCP maintains consistency with NBU policy names (removing UUIDs) to avoid garbled display</w:t>
            </w:r>
          </w:p>
        </w:tc>
      </w:tr>
    </w:tbl>
    <w:p w14:paraId="7FBC396E">
      <w:pPr>
        <w:pStyle w:val="3"/>
        <w:keepNext w:val="0"/>
        <w:keepLines w:val="0"/>
        <w:widowControl/>
        <w:suppressLineNumbers w:val="0"/>
        <w:spacing w:before="203" w:beforeAutospacing="0" w:after="0" w:afterAutospacing="0" w:line="30" w:lineRule="atLeast"/>
        <w:ind w:left="0" w:right="0"/>
        <w:jc w:val="both"/>
      </w:pPr>
      <w:r>
        <w:rPr>
          <w:rFonts w:hint="eastAsia" w:ascii="PingFang SC" w:hAnsi="PingFang SC" w:eastAsia="PingFang SC" w:cs="PingFang SC"/>
          <w:b/>
          <w:bCs/>
          <w:i w:val="0"/>
          <w:iCs w:val="0"/>
          <w:color w:val="000000"/>
          <w:spacing w:val="0"/>
          <w:w w:val="100"/>
          <w:sz w:val="27"/>
          <w:szCs w:val="27"/>
          <w:shd w:val="clear" w:fill="FFFFFF"/>
          <w:vertAlign w:val="baseline"/>
        </w:rPr>
        <w:t>4.3 Confirmation of Monitoring System Integration Compatibility</w:t>
      </w:r>
    </w:p>
    <w:p w14:paraId="1CC9EF33">
      <w:pPr>
        <w:pStyle w:val="4"/>
        <w:keepNext w:val="0"/>
        <w:keepLines w:val="0"/>
        <w:widowControl/>
        <w:suppressLineNumbers w:val="0"/>
        <w:spacing w:before="0" w:beforeAutospacing="0" w:after="0" w:afterAutospacing="0" w:line="30" w:lineRule="atLeast"/>
        <w:ind w:left="0" w:right="0"/>
        <w:jc w:val="both"/>
      </w:pPr>
      <w:r>
        <w:rPr>
          <w:rFonts w:hint="eastAsia" w:ascii="PingFang SC" w:hAnsi="PingFang SC" w:eastAsia="PingFang SC" w:cs="PingFang SC"/>
          <w:b/>
          <w:bCs/>
          <w:i w:val="0"/>
          <w:iCs w:val="0"/>
          <w:color w:val="000000"/>
          <w:spacing w:val="0"/>
          <w:w w:val="100"/>
          <w:sz w:val="24"/>
          <w:szCs w:val="24"/>
          <w:shd w:val="clear" w:fill="FFFFFF"/>
          <w:vertAlign w:val="baseline"/>
        </w:rPr>
        <w:t>4.3.1 Typical Integration Tools and Support Status</w:t>
      </w:r>
    </w:p>
    <w:tbl>
      <w:tblPr>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2949"/>
        <w:gridCol w:w="3409"/>
        <w:gridCol w:w="3431"/>
      </w:tblGrid>
      <w:tr w14:paraId="4EF82910">
        <w:trPr>
          <w:trHeight w:val="540" w:hRule="atLeast"/>
        </w:trPr>
        <w:tc>
          <w:tcPr>
            <w:tcW w:w="1506" w:type="pct"/>
            <w:tcBorders>
              <w:top w:val="single" w:color="CBCDD1" w:sz="2" w:space="0"/>
              <w:left w:val="single" w:color="CBCDD1" w:sz="2" w:space="0"/>
              <w:bottom w:val="single" w:color="CBCDD1" w:sz="2" w:space="0"/>
              <w:right w:val="single" w:color="9A9A9A" w:sz="12" w:space="0"/>
            </w:tcBorders>
            <w:shd w:val="clear" w:color="auto" w:fill="F2F2F2"/>
            <w:tcMar>
              <w:top w:w="240" w:type="dxa"/>
              <w:left w:w="360" w:type="dxa"/>
              <w:bottom w:w="240" w:type="dxa"/>
              <w:right w:w="360" w:type="dxa"/>
            </w:tcMar>
            <w:vAlign w:val="center"/>
          </w:tcPr>
          <w:p w14:paraId="7BC40B39">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bCs/>
                <w:i w:val="0"/>
                <w:iCs w:val="0"/>
                <w:color w:val="000000"/>
                <w:spacing w:val="0"/>
                <w:w w:val="100"/>
                <w:sz w:val="24"/>
                <w:szCs w:val="24"/>
                <w:vertAlign w:val="baseline"/>
              </w:rPr>
              <w:t>Third-Party Monitoring Tool</w:t>
            </w:r>
          </w:p>
        </w:tc>
        <w:tc>
          <w:tcPr>
            <w:tcW w:w="1741" w:type="pct"/>
            <w:tcBorders>
              <w:top w:val="single" w:color="CBCDD1" w:sz="2" w:space="0"/>
              <w:left w:val="single" w:color="9A9A9A" w:sz="2" w:space="0"/>
              <w:bottom w:val="single" w:color="CBCDD1" w:sz="2" w:space="0"/>
              <w:right w:val="single" w:color="9A9A9A" w:sz="12" w:space="0"/>
            </w:tcBorders>
            <w:shd w:val="clear" w:color="auto" w:fill="F2F2F2"/>
            <w:tcMar>
              <w:top w:w="240" w:type="dxa"/>
              <w:left w:w="360" w:type="dxa"/>
              <w:bottom w:w="240" w:type="dxa"/>
              <w:right w:w="360" w:type="dxa"/>
            </w:tcMar>
            <w:vAlign w:val="center"/>
          </w:tcPr>
          <w:p w14:paraId="0663EF5B">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bCs/>
                <w:i w:val="0"/>
                <w:iCs w:val="0"/>
                <w:color w:val="000000"/>
                <w:spacing w:val="0"/>
                <w:w w:val="100"/>
                <w:sz w:val="24"/>
                <w:szCs w:val="24"/>
                <w:vertAlign w:val="baseline"/>
              </w:rPr>
              <w:t>Support Status of Sangfor HCI</w:t>
            </w:r>
          </w:p>
        </w:tc>
        <w:tc>
          <w:tcPr>
            <w:tcW w:w="1752" w:type="pct"/>
            <w:tcBorders>
              <w:top w:val="single" w:color="CBCDD1" w:sz="2" w:space="0"/>
              <w:left w:val="single" w:color="9A9A9A" w:sz="2" w:space="0"/>
              <w:bottom w:val="single" w:color="CBCDD1" w:sz="2" w:space="0"/>
              <w:right w:val="single" w:color="CBCDD1" w:sz="2" w:space="0"/>
            </w:tcBorders>
            <w:shd w:val="clear" w:color="auto" w:fill="F2F2F2"/>
            <w:tcMar>
              <w:top w:w="240" w:type="dxa"/>
              <w:left w:w="360" w:type="dxa"/>
              <w:bottom w:w="240" w:type="dxa"/>
              <w:right w:w="360" w:type="dxa"/>
            </w:tcMar>
            <w:vAlign w:val="center"/>
          </w:tcPr>
          <w:p w14:paraId="2B0CB5BA">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bCs/>
                <w:i w:val="0"/>
                <w:iCs w:val="0"/>
                <w:color w:val="000000"/>
                <w:spacing w:val="0"/>
                <w:w w:val="100"/>
                <w:sz w:val="24"/>
                <w:szCs w:val="24"/>
                <w:vertAlign w:val="baseline"/>
              </w:rPr>
              <w:t>Remarks</w:t>
            </w:r>
          </w:p>
        </w:tc>
      </w:tr>
      <w:tr w14:paraId="3627BDB2">
        <w:trPr>
          <w:trHeight w:val="540" w:hRule="atLeast"/>
        </w:trPr>
        <w:tc>
          <w:tcPr>
            <w:tcW w:w="1506" w:type="pct"/>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47E8689A">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Zabbix</w:t>
            </w:r>
          </w:p>
        </w:tc>
        <w:tc>
          <w:tcPr>
            <w:tcW w:w="1741" w:type="pct"/>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7BF9B59A">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Native monitoring templates + dedicated agent provided</w:t>
            </w:r>
          </w:p>
        </w:tc>
        <w:tc>
          <w:tcPr>
            <w:tcW w:w="1752" w:type="pct"/>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059669EF">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Supports multi-method data collection (SNMP/API/agent)</w:t>
            </w:r>
          </w:p>
        </w:tc>
      </w:tr>
      <w:tr w14:paraId="2719A44C">
        <w:trPr>
          <w:trHeight w:val="540" w:hRule="atLeast"/>
        </w:trPr>
        <w:tc>
          <w:tcPr>
            <w:tcW w:w="1506" w:type="pct"/>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2C0C4769">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Prometheus + Grafana</w:t>
            </w:r>
          </w:p>
        </w:tc>
        <w:tc>
          <w:tcPr>
            <w:tcW w:w="1741" w:type="pct"/>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65BF7AD6">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Native Exporter + visualization templates provided</w:t>
            </w:r>
          </w:p>
        </w:tc>
        <w:tc>
          <w:tcPr>
            <w:tcW w:w="1752" w:type="pct"/>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354332D0">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Seamless integration; supports full-tier monitoring data collection</w:t>
            </w:r>
          </w:p>
        </w:tc>
      </w:tr>
      <w:tr w14:paraId="5D152185">
        <w:trPr>
          <w:trHeight w:val="540" w:hRule="atLeast"/>
        </w:trPr>
        <w:tc>
          <w:tcPr>
            <w:tcW w:w="1506" w:type="pct"/>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3E4D3CCF">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Nagios</w:t>
            </w:r>
          </w:p>
        </w:tc>
        <w:tc>
          <w:tcPr>
            <w:tcW w:w="1741" w:type="pct"/>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5E3D4063">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Standard API interface provided</w:t>
            </w:r>
          </w:p>
        </w:tc>
        <w:tc>
          <w:tcPr>
            <w:tcW w:w="1752" w:type="pct"/>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3757F129">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No native monitoring templates/plugins; requires custom configuration via API</w:t>
            </w:r>
          </w:p>
        </w:tc>
      </w:tr>
      <w:tr w14:paraId="6D42F5AF">
        <w:trPr>
          <w:trHeight w:val="540" w:hRule="atLeast"/>
        </w:trPr>
        <w:tc>
          <w:tcPr>
            <w:tcW w:w="1506" w:type="pct"/>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66D3F79F">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SolarWinds</w:t>
            </w:r>
          </w:p>
        </w:tc>
        <w:tc>
          <w:tcPr>
            <w:tcW w:w="1741" w:type="pct"/>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65EFA08F">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Standard API interface provided</w:t>
            </w:r>
          </w:p>
        </w:tc>
        <w:tc>
          <w:tcPr>
            <w:tcW w:w="1752" w:type="pct"/>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2D41FBCB">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No native monitoring templates/plugins; requires custom configuration via API</w:t>
            </w:r>
          </w:p>
        </w:tc>
      </w:tr>
    </w:tbl>
    <w:p w14:paraId="158EAC7C">
      <w:pPr>
        <w:pStyle w:val="4"/>
        <w:keepNext w:val="0"/>
        <w:keepLines w:val="0"/>
        <w:widowControl/>
        <w:suppressLineNumbers w:val="0"/>
        <w:spacing w:before="180" w:beforeAutospacing="0" w:after="0" w:afterAutospacing="0" w:line="30" w:lineRule="atLeast"/>
        <w:ind w:left="0" w:right="0"/>
        <w:jc w:val="both"/>
      </w:pPr>
      <w:r>
        <w:rPr>
          <w:rFonts w:hint="eastAsia" w:ascii="PingFang SC" w:hAnsi="PingFang SC" w:eastAsia="PingFang SC" w:cs="PingFang SC"/>
          <w:b/>
          <w:bCs/>
          <w:i w:val="0"/>
          <w:iCs w:val="0"/>
          <w:color w:val="000000"/>
          <w:spacing w:val="0"/>
          <w:w w:val="100"/>
          <w:sz w:val="24"/>
          <w:szCs w:val="24"/>
          <w:shd w:val="clear" w:fill="FFFFFF"/>
          <w:vertAlign w:val="baseline"/>
        </w:rPr>
        <w:t>4.3.2 Core Capabilities to Confirm with Customers</w:t>
      </w:r>
    </w:p>
    <w:tbl>
      <w:tblPr>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2205"/>
        <w:gridCol w:w="3792"/>
        <w:gridCol w:w="3792"/>
      </w:tblGrid>
      <w:tr w14:paraId="2489C641">
        <w:trPr>
          <w:trHeight w:val="540" w:hRule="atLeast"/>
        </w:trPr>
        <w:tc>
          <w:tcPr>
            <w:tcW w:w="985" w:type="pct"/>
            <w:tcBorders>
              <w:top w:val="single" w:color="CBCDD1" w:sz="2" w:space="0"/>
              <w:left w:val="single" w:color="CBCDD1" w:sz="2" w:space="0"/>
              <w:bottom w:val="single" w:color="CBCDD1" w:sz="2" w:space="0"/>
              <w:right w:val="single" w:color="9A9A9A" w:sz="12" w:space="0"/>
            </w:tcBorders>
            <w:shd w:val="clear" w:color="auto" w:fill="F2F2F2"/>
            <w:tcMar>
              <w:top w:w="240" w:type="dxa"/>
              <w:left w:w="360" w:type="dxa"/>
              <w:bottom w:w="240" w:type="dxa"/>
              <w:right w:w="360" w:type="dxa"/>
            </w:tcMar>
            <w:vAlign w:val="center"/>
          </w:tcPr>
          <w:p w14:paraId="173BB55F">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bCs/>
                <w:i w:val="0"/>
                <w:iCs w:val="0"/>
                <w:color w:val="000000"/>
                <w:spacing w:val="0"/>
                <w:w w:val="100"/>
                <w:sz w:val="24"/>
                <w:szCs w:val="24"/>
                <w:vertAlign w:val="baseline"/>
              </w:rPr>
              <w:t>Confirmation Dimension</w:t>
            </w:r>
          </w:p>
        </w:tc>
        <w:tc>
          <w:tcPr>
            <w:tcW w:w="2007" w:type="pct"/>
            <w:tcBorders>
              <w:top w:val="single" w:color="CBCDD1" w:sz="2" w:space="0"/>
              <w:left w:val="single" w:color="9A9A9A" w:sz="2" w:space="0"/>
              <w:bottom w:val="single" w:color="CBCDD1" w:sz="2" w:space="0"/>
              <w:right w:val="single" w:color="9A9A9A" w:sz="12" w:space="0"/>
            </w:tcBorders>
            <w:shd w:val="clear" w:color="auto" w:fill="F2F2F2"/>
            <w:tcMar>
              <w:top w:w="240" w:type="dxa"/>
              <w:left w:w="360" w:type="dxa"/>
              <w:bottom w:w="240" w:type="dxa"/>
              <w:right w:w="360" w:type="dxa"/>
            </w:tcMar>
            <w:vAlign w:val="center"/>
          </w:tcPr>
          <w:p w14:paraId="30683F33">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bCs/>
                <w:i w:val="0"/>
                <w:iCs w:val="0"/>
                <w:color w:val="000000"/>
                <w:spacing w:val="0"/>
                <w:w w:val="100"/>
                <w:sz w:val="24"/>
                <w:szCs w:val="24"/>
                <w:vertAlign w:val="baseline"/>
              </w:rPr>
              <w:t>Specific Confirmation Points (Directly Usable for Customer Communication)</w:t>
            </w:r>
          </w:p>
        </w:tc>
        <w:tc>
          <w:tcPr>
            <w:tcW w:w="2007" w:type="pct"/>
            <w:tcBorders>
              <w:top w:val="single" w:color="CBCDD1" w:sz="2" w:space="0"/>
              <w:left w:val="single" w:color="9A9A9A" w:sz="2" w:space="0"/>
              <w:bottom w:val="single" w:color="CBCDD1" w:sz="2" w:space="0"/>
              <w:right w:val="single" w:color="CBCDD1" w:sz="2" w:space="0"/>
            </w:tcBorders>
            <w:shd w:val="clear" w:color="auto" w:fill="F2F2F2"/>
            <w:tcMar>
              <w:top w:w="240" w:type="dxa"/>
              <w:left w:w="360" w:type="dxa"/>
              <w:bottom w:w="240" w:type="dxa"/>
              <w:right w:w="360" w:type="dxa"/>
            </w:tcMar>
            <w:vAlign w:val="center"/>
          </w:tcPr>
          <w:p w14:paraId="2F676F98">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bCs/>
                <w:i w:val="0"/>
                <w:iCs w:val="0"/>
                <w:color w:val="000000"/>
                <w:spacing w:val="0"/>
                <w:w w:val="100"/>
                <w:sz w:val="24"/>
                <w:szCs w:val="24"/>
                <w:vertAlign w:val="baseline"/>
              </w:rPr>
              <w:t>Compatibility Impact Description (Sangfor Capabilities)</w:t>
            </w:r>
          </w:p>
        </w:tc>
      </w:tr>
      <w:tr w14:paraId="0B40BD0A">
        <w:trPr>
          <w:trHeight w:val="540" w:hRule="atLeast"/>
        </w:trPr>
        <w:tc>
          <w:tcPr>
            <w:tcW w:w="985" w:type="pct"/>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07F99730">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Monitoring Scope</w:t>
            </w:r>
          </w:p>
        </w:tc>
        <w:tc>
          <w:tcPr>
            <w:tcW w:w="2007" w:type="pct"/>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3F22A37A">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1. Does the existing monitoring cover the full stack of "hardware - virtualization - OS - applications"? 2. What are the core monitoring metrics (e.g., CPU/memory usage, application response time)?</w:t>
            </w:r>
          </w:p>
        </w:tc>
        <w:tc>
          <w:tcPr>
            <w:tcW w:w="2007" w:type="pct"/>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750D3A73">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Sangfor supports full-tier monitoring covering mainstream metrics; custom metrics can be extended via API collection</w:t>
            </w:r>
          </w:p>
        </w:tc>
      </w:tr>
      <w:tr w14:paraId="47185E27">
        <w:trPr>
          <w:trHeight w:val="540" w:hRule="atLeast"/>
        </w:trPr>
        <w:tc>
          <w:tcPr>
            <w:tcW w:w="985" w:type="pct"/>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1C45601C">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Data Collection Method</w:t>
            </w:r>
          </w:p>
        </w:tc>
        <w:tc>
          <w:tcPr>
            <w:tcW w:w="2007" w:type="pct"/>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4D3B3DA1">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1. What is the collection protocol (SNMP v2/v3, REST API, etc.)? 2. What is the collection frequency and transmission method (push/pull)?</w:t>
            </w:r>
          </w:p>
        </w:tc>
        <w:tc>
          <w:tcPr>
            <w:tcW w:w="2007" w:type="pct"/>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4A871BBC">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Sangfor opens SNMP v2/v3, REST API, and other protocols; supports scheduled pull/realtime push; dedicated agents can be deployed on HCI</w:t>
            </w:r>
          </w:p>
        </w:tc>
      </w:tr>
      <w:tr w14:paraId="24A60484">
        <w:trPr>
          <w:trHeight w:val="540" w:hRule="atLeast"/>
        </w:trPr>
        <w:tc>
          <w:tcPr>
            <w:tcW w:w="985" w:type="pct"/>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51CFE883">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Alert Mechanism</w:t>
            </w:r>
          </w:p>
        </w:tc>
        <w:tc>
          <w:tcPr>
            <w:tcW w:w="2007" w:type="pct"/>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2A96BA82">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1. What are the alert trigger thresholds and push channels (email/WeCom, etc.)? 2. Is alert escalation/automatic ticket assignment required?</w:t>
            </w:r>
          </w:p>
        </w:tc>
        <w:tc>
          <w:tcPr>
            <w:tcW w:w="2007" w:type="pct"/>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1B757A19">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Sangfor monitoring data format is compatible with customer alert systems; supports mainstream push channels; alert escalation requires custom configuration via API</w:t>
            </w:r>
          </w:p>
        </w:tc>
      </w:tr>
    </w:tbl>
    <w:p w14:paraId="10154BC2">
      <w:pPr>
        <w:pStyle w:val="3"/>
        <w:keepNext w:val="0"/>
        <w:keepLines w:val="0"/>
        <w:widowControl/>
        <w:suppressLineNumbers w:val="0"/>
        <w:spacing w:before="203" w:beforeAutospacing="0" w:after="0" w:afterAutospacing="0" w:line="30" w:lineRule="atLeast"/>
        <w:ind w:left="0" w:right="0"/>
        <w:jc w:val="both"/>
      </w:pPr>
      <w:r>
        <w:rPr>
          <w:rFonts w:hint="eastAsia" w:ascii="PingFang SC" w:hAnsi="PingFang SC" w:eastAsia="PingFang SC" w:cs="PingFang SC"/>
          <w:b/>
          <w:bCs/>
          <w:i w:val="0"/>
          <w:iCs w:val="0"/>
          <w:color w:val="000000"/>
          <w:spacing w:val="0"/>
          <w:w w:val="100"/>
          <w:sz w:val="27"/>
          <w:szCs w:val="27"/>
          <w:shd w:val="clear" w:fill="FFFFFF"/>
          <w:vertAlign w:val="baseline"/>
        </w:rPr>
        <w:t>4.4 Confirmation of Disaster Recovery System Integration Compatibility</w:t>
      </w:r>
    </w:p>
    <w:p w14:paraId="6CB590DE">
      <w:pPr>
        <w:pStyle w:val="4"/>
        <w:keepNext w:val="0"/>
        <w:keepLines w:val="0"/>
        <w:widowControl/>
        <w:suppressLineNumbers w:val="0"/>
        <w:spacing w:before="0" w:beforeAutospacing="0" w:after="0" w:afterAutospacing="0" w:line="30" w:lineRule="atLeast"/>
        <w:ind w:left="0" w:right="0"/>
        <w:jc w:val="both"/>
      </w:pPr>
      <w:r>
        <w:rPr>
          <w:rFonts w:hint="eastAsia" w:ascii="PingFang SC" w:hAnsi="PingFang SC" w:eastAsia="PingFang SC" w:cs="PingFang SC"/>
          <w:b/>
          <w:bCs/>
          <w:i w:val="0"/>
          <w:iCs w:val="0"/>
          <w:color w:val="000000"/>
          <w:spacing w:val="0"/>
          <w:w w:val="100"/>
          <w:sz w:val="24"/>
          <w:szCs w:val="24"/>
          <w:shd w:val="clear" w:fill="FFFFFF"/>
          <w:vertAlign w:val="baseline"/>
        </w:rPr>
        <w:t>4.4.1 Typical Integration Tools and Support Status</w:t>
      </w:r>
    </w:p>
    <w:p w14:paraId="6155EA5D">
      <w:pPr>
        <w:pStyle w:val="6"/>
        <w:keepNext w:val="0"/>
        <w:keepLines w:val="0"/>
        <w:widowControl/>
        <w:suppressLineNumbers w:val="0"/>
        <w:spacing w:before="0" w:beforeAutospacing="0" w:after="160" w:afterAutospacing="0" w:line="30" w:lineRule="atLeast"/>
        <w:ind w:left="0" w:right="0"/>
        <w:jc w:val="both"/>
      </w:pPr>
      <w:r>
        <w:rPr>
          <w:rFonts w:hint="eastAsia" w:ascii="PingFang SC" w:hAnsi="PingFang SC" w:eastAsia="PingFang SC" w:cs="PingFang SC"/>
          <w:b w:val="0"/>
          <w:bCs w:val="0"/>
          <w:i w:val="0"/>
          <w:iCs w:val="0"/>
          <w:color w:val="000000"/>
          <w:spacing w:val="0"/>
          <w:w w:val="100"/>
          <w:sz w:val="24"/>
          <w:szCs w:val="24"/>
          <w:shd w:val="clear" w:fill="FFFFFF"/>
          <w:vertAlign w:val="baseline"/>
        </w:rPr>
        <w:t>(Note: "Support Status" below refers specifically to native adaptation mode)</w:t>
      </w:r>
    </w:p>
    <w:tbl>
      <w:tblPr>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3157"/>
        <w:gridCol w:w="2481"/>
        <w:gridCol w:w="4149"/>
      </w:tblGrid>
      <w:tr w14:paraId="23783411">
        <w:trPr>
          <w:trHeight w:val="540" w:hRule="atLeast"/>
        </w:trPr>
        <w:tc>
          <w:tcPr>
            <w:tcW w:w="1613" w:type="pct"/>
            <w:tcBorders>
              <w:top w:val="single" w:color="CBCDD1" w:sz="2" w:space="0"/>
              <w:left w:val="single" w:color="CBCDD1" w:sz="2" w:space="0"/>
              <w:bottom w:val="single" w:color="CBCDD1" w:sz="2" w:space="0"/>
              <w:right w:val="single" w:color="9A9A9A" w:sz="12" w:space="0"/>
            </w:tcBorders>
            <w:shd w:val="clear" w:color="auto" w:fill="F2F2F2"/>
            <w:tcMar>
              <w:top w:w="240" w:type="dxa"/>
              <w:left w:w="360" w:type="dxa"/>
              <w:bottom w:w="240" w:type="dxa"/>
              <w:right w:w="360" w:type="dxa"/>
            </w:tcMar>
            <w:vAlign w:val="center"/>
          </w:tcPr>
          <w:p w14:paraId="6EF13490">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bCs/>
                <w:i w:val="0"/>
                <w:iCs w:val="0"/>
                <w:color w:val="000000"/>
                <w:spacing w:val="0"/>
                <w:w w:val="100"/>
                <w:sz w:val="24"/>
                <w:szCs w:val="24"/>
                <w:vertAlign w:val="baseline"/>
              </w:rPr>
              <w:t>Third-Party Disaster Recovery Tool</w:t>
            </w:r>
          </w:p>
        </w:tc>
        <w:tc>
          <w:tcPr>
            <w:tcW w:w="1267" w:type="pct"/>
            <w:tcBorders>
              <w:top w:val="single" w:color="CBCDD1" w:sz="2" w:space="0"/>
              <w:left w:val="single" w:color="9A9A9A" w:sz="2" w:space="0"/>
              <w:bottom w:val="single" w:color="CBCDD1" w:sz="2" w:space="0"/>
              <w:right w:val="single" w:color="9A9A9A" w:sz="12" w:space="0"/>
            </w:tcBorders>
            <w:shd w:val="clear" w:color="auto" w:fill="F2F2F2"/>
            <w:tcMar>
              <w:top w:w="240" w:type="dxa"/>
              <w:left w:w="360" w:type="dxa"/>
              <w:bottom w:w="240" w:type="dxa"/>
              <w:right w:w="360" w:type="dxa"/>
            </w:tcMar>
            <w:vAlign w:val="center"/>
          </w:tcPr>
          <w:p w14:paraId="2DF33252">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bCs/>
                <w:i w:val="0"/>
                <w:iCs w:val="0"/>
                <w:color w:val="000000"/>
                <w:spacing w:val="0"/>
                <w:w w:val="100"/>
                <w:sz w:val="24"/>
                <w:szCs w:val="24"/>
                <w:vertAlign w:val="baseline"/>
              </w:rPr>
              <w:t>Support Status of Sangfor HCI</w:t>
            </w:r>
          </w:p>
        </w:tc>
        <w:tc>
          <w:tcPr>
            <w:tcW w:w="2119" w:type="pct"/>
            <w:tcBorders>
              <w:top w:val="single" w:color="CBCDD1" w:sz="2" w:space="0"/>
              <w:left w:val="single" w:color="9A9A9A" w:sz="2" w:space="0"/>
              <w:bottom w:val="single" w:color="CBCDD1" w:sz="2" w:space="0"/>
              <w:right w:val="single" w:color="CBCDD1" w:sz="2" w:space="0"/>
            </w:tcBorders>
            <w:shd w:val="clear" w:color="auto" w:fill="F2F2F2"/>
            <w:tcMar>
              <w:top w:w="240" w:type="dxa"/>
              <w:left w:w="360" w:type="dxa"/>
              <w:bottom w:w="240" w:type="dxa"/>
              <w:right w:w="360" w:type="dxa"/>
            </w:tcMar>
            <w:vAlign w:val="center"/>
          </w:tcPr>
          <w:p w14:paraId="736A79BF">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bCs/>
                <w:i w:val="0"/>
                <w:iCs w:val="0"/>
                <w:color w:val="000000"/>
                <w:spacing w:val="0"/>
                <w:w w:val="100"/>
                <w:sz w:val="24"/>
                <w:szCs w:val="24"/>
                <w:vertAlign w:val="baseline"/>
              </w:rPr>
              <w:t>Remarks</w:t>
            </w:r>
          </w:p>
        </w:tc>
      </w:tr>
      <w:tr w14:paraId="096DDC03">
        <w:trPr>
          <w:trHeight w:val="540" w:hRule="atLeast"/>
        </w:trPr>
        <w:tc>
          <w:tcPr>
            <w:tcW w:w="1613" w:type="pct"/>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72BFE497">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Sangfor Disaster Recovery Gateway / CDP</w:t>
            </w:r>
          </w:p>
        </w:tc>
        <w:tc>
          <w:tcPr>
            <w:tcW w:w="1267" w:type="pct"/>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60D01B01">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Fully Supported</w:t>
            </w:r>
          </w:p>
        </w:tc>
        <w:tc>
          <w:tcPr>
            <w:tcW w:w="2119" w:type="pct"/>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19BEEB97">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Natively adapted to HCI; supports synchronous/asynchronous disaster recovery</w:t>
            </w:r>
          </w:p>
        </w:tc>
      </w:tr>
      <w:tr w14:paraId="6101B707">
        <w:trPr>
          <w:trHeight w:val="540" w:hRule="atLeast"/>
        </w:trPr>
        <w:tc>
          <w:tcPr>
            <w:tcW w:w="1613" w:type="pct"/>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7F2C1FC1">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VMware SRM</w:t>
            </w:r>
          </w:p>
        </w:tc>
        <w:tc>
          <w:tcPr>
            <w:tcW w:w="1267" w:type="pct"/>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326061FE">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No Native Adaptation</w:t>
            </w:r>
          </w:p>
        </w:tc>
        <w:tc>
          <w:tcPr>
            <w:tcW w:w="2119" w:type="pct"/>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294440AE">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Requires replacement with Sangfor disaster recovery solution or integration via standard APIs</w:t>
            </w:r>
          </w:p>
        </w:tc>
      </w:tr>
      <w:tr w14:paraId="7DACFEA2">
        <w:trPr>
          <w:trHeight w:val="540" w:hRule="atLeast"/>
        </w:trPr>
        <w:tc>
          <w:tcPr>
            <w:tcW w:w="1613" w:type="pct"/>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2BB119A9">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Third-Party CDP Tools (e.g., Actifio)</w:t>
            </w:r>
          </w:p>
        </w:tc>
        <w:tc>
          <w:tcPr>
            <w:tcW w:w="1267" w:type="pct"/>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00A899ED">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Standard API interface provided</w:t>
            </w:r>
          </w:p>
        </w:tc>
        <w:tc>
          <w:tcPr>
            <w:tcW w:w="2119" w:type="pct"/>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5423A4FE">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No native adaptation plugins; requires custom integration via API</w:t>
            </w:r>
          </w:p>
        </w:tc>
      </w:tr>
    </w:tbl>
    <w:p w14:paraId="2CF3EAA3">
      <w:pPr>
        <w:pStyle w:val="4"/>
        <w:keepNext w:val="0"/>
        <w:keepLines w:val="0"/>
        <w:widowControl/>
        <w:suppressLineNumbers w:val="0"/>
        <w:spacing w:before="180" w:beforeAutospacing="0" w:after="0" w:afterAutospacing="0" w:line="30" w:lineRule="atLeast"/>
        <w:ind w:left="0" w:right="0"/>
        <w:jc w:val="both"/>
      </w:pPr>
      <w:r>
        <w:rPr>
          <w:rFonts w:hint="eastAsia" w:ascii="PingFang SC" w:hAnsi="PingFang SC" w:eastAsia="PingFang SC" w:cs="PingFang SC"/>
          <w:b/>
          <w:bCs/>
          <w:i w:val="0"/>
          <w:iCs w:val="0"/>
          <w:color w:val="000000"/>
          <w:spacing w:val="0"/>
          <w:w w:val="100"/>
          <w:sz w:val="24"/>
          <w:szCs w:val="24"/>
          <w:shd w:val="clear" w:fill="FFFFFF"/>
          <w:vertAlign w:val="baseline"/>
        </w:rPr>
        <w:t>4.4.2 Core Capabilities to Confirm with Customers</w:t>
      </w:r>
    </w:p>
    <w:tbl>
      <w:tblPr>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1880"/>
        <w:gridCol w:w="4880"/>
        <w:gridCol w:w="3031"/>
      </w:tblGrid>
      <w:tr w14:paraId="728415E7">
        <w:trPr>
          <w:trHeight w:val="540" w:hRule="atLeast"/>
        </w:trPr>
        <w:tc>
          <w:tcPr>
            <w:tcW w:w="1127" w:type="pct"/>
            <w:tcBorders>
              <w:top w:val="single" w:color="CBCDD1" w:sz="2" w:space="0"/>
              <w:left w:val="single" w:color="CBCDD1" w:sz="2" w:space="0"/>
              <w:bottom w:val="single" w:color="CBCDD1" w:sz="2" w:space="0"/>
              <w:right w:val="single" w:color="9A9A9A" w:sz="12" w:space="0"/>
            </w:tcBorders>
            <w:shd w:val="clear" w:color="auto" w:fill="F2F2F2"/>
            <w:tcMar>
              <w:top w:w="240" w:type="dxa"/>
              <w:left w:w="360" w:type="dxa"/>
              <w:bottom w:w="240" w:type="dxa"/>
              <w:right w:w="360" w:type="dxa"/>
            </w:tcMar>
            <w:vAlign w:val="center"/>
          </w:tcPr>
          <w:p w14:paraId="749F9371">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bCs/>
                <w:i w:val="0"/>
                <w:iCs w:val="0"/>
                <w:color w:val="000000"/>
                <w:spacing w:val="0"/>
                <w:w w:val="100"/>
                <w:sz w:val="24"/>
                <w:szCs w:val="24"/>
                <w:vertAlign w:val="baseline"/>
              </w:rPr>
              <w:t>Confirmation Dimension</w:t>
            </w:r>
          </w:p>
        </w:tc>
        <w:tc>
          <w:tcPr>
            <w:tcW w:w="1936" w:type="pct"/>
            <w:tcBorders>
              <w:top w:val="single" w:color="CBCDD1" w:sz="2" w:space="0"/>
              <w:left w:val="single" w:color="9A9A9A" w:sz="2" w:space="0"/>
              <w:bottom w:val="single" w:color="CBCDD1" w:sz="2" w:space="0"/>
              <w:right w:val="single" w:color="9A9A9A" w:sz="12" w:space="0"/>
            </w:tcBorders>
            <w:shd w:val="clear" w:color="auto" w:fill="F2F2F2"/>
            <w:tcMar>
              <w:top w:w="240" w:type="dxa"/>
              <w:left w:w="360" w:type="dxa"/>
              <w:bottom w:w="240" w:type="dxa"/>
              <w:right w:w="360" w:type="dxa"/>
            </w:tcMar>
            <w:vAlign w:val="center"/>
          </w:tcPr>
          <w:p w14:paraId="5474E91A">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bCs/>
                <w:i w:val="0"/>
                <w:iCs w:val="0"/>
                <w:color w:val="000000"/>
                <w:spacing w:val="0"/>
                <w:w w:val="100"/>
                <w:sz w:val="24"/>
                <w:szCs w:val="24"/>
                <w:vertAlign w:val="baseline"/>
              </w:rPr>
              <w:t>Specific Confirmation Points (Directly Usable for Customer Communication)</w:t>
            </w:r>
          </w:p>
        </w:tc>
        <w:tc>
          <w:tcPr>
            <w:tcW w:w="1936" w:type="pct"/>
            <w:tcBorders>
              <w:top w:val="single" w:color="CBCDD1" w:sz="2" w:space="0"/>
              <w:left w:val="single" w:color="9A9A9A" w:sz="2" w:space="0"/>
              <w:bottom w:val="single" w:color="CBCDD1" w:sz="2" w:space="0"/>
              <w:right w:val="single" w:color="CBCDD1" w:sz="2" w:space="0"/>
            </w:tcBorders>
            <w:shd w:val="clear" w:color="auto" w:fill="F2F2F2"/>
            <w:tcMar>
              <w:top w:w="240" w:type="dxa"/>
              <w:left w:w="360" w:type="dxa"/>
              <w:bottom w:w="240" w:type="dxa"/>
              <w:right w:w="360" w:type="dxa"/>
            </w:tcMar>
            <w:vAlign w:val="center"/>
          </w:tcPr>
          <w:p w14:paraId="458C4E1F">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bCs/>
                <w:i w:val="0"/>
                <w:iCs w:val="0"/>
                <w:color w:val="000000"/>
                <w:spacing w:val="0"/>
                <w:w w:val="100"/>
                <w:sz w:val="24"/>
                <w:szCs w:val="24"/>
                <w:vertAlign w:val="baseline"/>
              </w:rPr>
              <w:t>Compatibility Impact Description (Sangfor Capabilities)</w:t>
            </w:r>
          </w:p>
        </w:tc>
      </w:tr>
      <w:tr w14:paraId="0EFE6FDC">
        <w:trPr>
          <w:trHeight w:val="540" w:hRule="atLeast"/>
        </w:trPr>
        <w:tc>
          <w:tcPr>
            <w:tcW w:w="1127" w:type="pct"/>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21D53161">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Disaster Recovery Architecture</w:t>
            </w:r>
          </w:p>
        </w:tc>
        <w:tc>
          <w:tcPr>
            <w:tcW w:w="1936" w:type="pct"/>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7AE46F82">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1. What is the existing disaster recovery mode (synchronous/asynchronous/near-synchronous)? 2. What is the disaster recovery site deployment method (local active-active/remote disaster recovery)?</w:t>
            </w:r>
          </w:p>
        </w:tc>
        <w:tc>
          <w:tcPr>
            <w:tcW w:w="1936" w:type="pct"/>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0E7743FC">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Sangfor supports synchronous/asynchronous disaster recovery, adapting to local active-active, remote disaster recovery, and other architectures</w:t>
            </w:r>
          </w:p>
        </w:tc>
      </w:tr>
      <w:tr w14:paraId="4BD5CFC5">
        <w:trPr>
          <w:trHeight w:val="540" w:hRule="atLeast"/>
        </w:trPr>
        <w:tc>
          <w:tcPr>
            <w:tcW w:w="1127" w:type="pct"/>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61B4A47E">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RPO/RTO Requirements</w:t>
            </w:r>
          </w:p>
        </w:tc>
        <w:tc>
          <w:tcPr>
            <w:tcW w:w="1936" w:type="pct"/>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7619377E">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Do core businesses require RPO ≤ 5 minutes and RTO ≤ 15 minutes?</w:t>
            </w:r>
          </w:p>
        </w:tc>
        <w:tc>
          <w:tcPr>
            <w:tcW w:w="1936" w:type="pct"/>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79F7143F">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Sangfor disaster recovery solutions meet core business requirements of RPO ≤ 5 minutes and RTO ≤ 15 minutes</w:t>
            </w:r>
          </w:p>
        </w:tc>
      </w:tr>
      <w:tr w14:paraId="2B5D0428">
        <w:trPr>
          <w:trHeight w:val="540" w:hRule="atLeast"/>
        </w:trPr>
        <w:tc>
          <w:tcPr>
            <w:tcW w:w="1127" w:type="pct"/>
            <w:tcBorders>
              <w:top w:val="single" w:color="CBCDD1" w:sz="2" w:space="0"/>
              <w:left w:val="single" w:color="CBCDD1" w:sz="2" w:space="0"/>
              <w:bottom w:val="single" w:color="CBCDD1" w:sz="2" w:space="0"/>
              <w:right w:val="single" w:color="9A9A9A" w:sz="12" w:space="0"/>
            </w:tcBorders>
            <w:shd w:val="clear"/>
            <w:tcMar>
              <w:top w:w="240" w:type="dxa"/>
              <w:left w:w="360" w:type="dxa"/>
              <w:bottom w:w="240" w:type="dxa"/>
              <w:right w:w="360" w:type="dxa"/>
            </w:tcMar>
            <w:vAlign w:val="center"/>
          </w:tcPr>
          <w:p w14:paraId="6A36E99D">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Switchover Mechanism</w:t>
            </w:r>
          </w:p>
        </w:tc>
        <w:tc>
          <w:tcPr>
            <w:tcW w:w="1936" w:type="pct"/>
            <w:tcBorders>
              <w:top w:val="single" w:color="CBCDD1" w:sz="2" w:space="0"/>
              <w:left w:val="single" w:color="9A9A9A" w:sz="2" w:space="0"/>
              <w:bottom w:val="single" w:color="CBCDD1" w:sz="2" w:space="0"/>
              <w:right w:val="single" w:color="9A9A9A" w:sz="12" w:space="0"/>
            </w:tcBorders>
            <w:shd w:val="clear"/>
            <w:tcMar>
              <w:top w:w="240" w:type="dxa"/>
              <w:left w:w="360" w:type="dxa"/>
              <w:bottom w:w="240" w:type="dxa"/>
              <w:right w:w="360" w:type="dxa"/>
            </w:tcMar>
            <w:vAlign w:val="center"/>
          </w:tcPr>
          <w:p w14:paraId="6E1E0B65">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1. What is the failure switchover method (automatic/manual)? 2. Is automatic synchronization of network configurations (IP/MAC) required after switchover?</w:t>
            </w:r>
          </w:p>
        </w:tc>
        <w:tc>
          <w:tcPr>
            <w:tcW w:w="1936" w:type="pct"/>
            <w:tcBorders>
              <w:top w:val="single" w:color="CBCDD1" w:sz="2" w:space="0"/>
              <w:left w:val="single" w:color="9A9A9A" w:sz="2" w:space="0"/>
              <w:bottom w:val="single" w:color="CBCDD1" w:sz="2" w:space="0"/>
              <w:right w:val="single" w:color="CBCDD1" w:sz="2" w:space="0"/>
            </w:tcBorders>
            <w:shd w:val="clear"/>
            <w:tcMar>
              <w:top w:w="240" w:type="dxa"/>
              <w:left w:w="360" w:type="dxa"/>
              <w:bottom w:w="240" w:type="dxa"/>
              <w:right w:w="360" w:type="dxa"/>
            </w:tcMar>
            <w:vAlign w:val="center"/>
          </w:tcPr>
          <w:p w14:paraId="43AE6D02">
            <w:pPr>
              <w:pStyle w:val="6"/>
              <w:keepNext w:val="0"/>
              <w:keepLines w:val="0"/>
              <w:widowControl/>
              <w:suppressLineNumbers w:val="0"/>
              <w:spacing w:before="0" w:beforeAutospacing="0" w:after="0" w:afterAutospacing="0" w:line="35" w:lineRule="atLeast"/>
              <w:ind w:left="0" w:right="0"/>
              <w:jc w:val="left"/>
            </w:pPr>
            <w:r>
              <w:rPr>
                <w:rFonts w:hint="eastAsia" w:ascii="PingFang SC" w:hAnsi="PingFang SC" w:eastAsia="PingFang SC" w:cs="PingFang SC"/>
                <w:b w:val="0"/>
                <w:bCs w:val="0"/>
                <w:i w:val="0"/>
                <w:iCs w:val="0"/>
                <w:color w:val="000000"/>
                <w:spacing w:val="0"/>
                <w:w w:val="100"/>
                <w:sz w:val="24"/>
                <w:szCs w:val="24"/>
                <w:vertAlign w:val="baseline"/>
              </w:rPr>
              <w:t>Sangfor supports manual/automatic switchover; automatically synchronizes IP/MAC and other network configurations after switchover</w:t>
            </w:r>
          </w:p>
        </w:tc>
      </w:tr>
    </w:tbl>
    <w:p w14:paraId="2215826B">
      <w:pPr>
        <w:pStyle w:val="3"/>
        <w:keepNext w:val="0"/>
        <w:keepLines w:val="0"/>
        <w:widowControl/>
        <w:suppressLineNumbers w:val="0"/>
        <w:spacing w:before="203" w:beforeAutospacing="0" w:after="0" w:afterAutospacing="0" w:line="30" w:lineRule="atLeast"/>
        <w:ind w:left="0" w:right="0"/>
        <w:jc w:val="both"/>
      </w:pPr>
      <w:r>
        <w:rPr>
          <w:rFonts w:hint="eastAsia" w:ascii="PingFang SC" w:hAnsi="PingFang SC" w:eastAsia="PingFang SC" w:cs="PingFang SC"/>
          <w:b/>
          <w:bCs/>
          <w:i w:val="0"/>
          <w:iCs w:val="0"/>
          <w:color w:val="000000"/>
          <w:spacing w:val="0"/>
          <w:w w:val="100"/>
          <w:sz w:val="27"/>
          <w:szCs w:val="27"/>
          <w:shd w:val="clear" w:fill="FFFFFF"/>
          <w:vertAlign w:val="baseline"/>
        </w:rPr>
        <w:t>4.5 Post-Confirmation Action Requirements</w:t>
      </w:r>
    </w:p>
    <w:p w14:paraId="27FDE647">
      <w:pPr>
        <w:pStyle w:val="6"/>
        <w:keepNext w:val="0"/>
        <w:keepLines w:val="0"/>
        <w:widowControl/>
        <w:numPr>
          <w:ilvl w:val="0"/>
          <w:numId w:val="9"/>
        </w:numPr>
        <w:suppressLineNumbers w:val="0"/>
        <w:spacing w:before="120" w:beforeAutospacing="0" w:after="120" w:afterAutospacing="0" w:line="30" w:lineRule="atLeast"/>
        <w:ind w:left="0" w:right="0"/>
        <w:jc w:val="both"/>
      </w:pPr>
      <w:r>
        <w:t xml:space="preserve"> </w:t>
      </w:r>
      <w:r>
        <w:rPr>
          <w:rFonts w:hint="eastAsia" w:ascii="PingFang SC" w:hAnsi="PingFang SC" w:eastAsia="PingFang SC" w:cs="PingFang SC"/>
          <w:b w:val="0"/>
          <w:bCs w:val="0"/>
          <w:i w:val="0"/>
          <w:iCs w:val="0"/>
          <w:color w:val="000000"/>
          <w:spacing w:val="0"/>
          <w:w w:val="100"/>
          <w:sz w:val="24"/>
          <w:szCs w:val="24"/>
          <w:shd w:val="clear" w:fill="FFFFFF"/>
          <w:vertAlign w:val="baseline"/>
        </w:rPr>
        <w:t>For third-party systems with agentless/native support (e.g., NBU, EISOO, Zabbix): Document the customer's current configurations (e.g., NBU quantity, policy parameters) and specify "post-migration re-integration steps" in the migration plan to ensure seamless connection.</w:t>
      </w:r>
    </w:p>
    <w:p w14:paraId="69025030">
      <w:pPr>
        <w:pStyle w:val="6"/>
        <w:keepNext w:val="0"/>
        <w:keepLines w:val="0"/>
        <w:widowControl/>
        <w:numPr>
          <w:ilvl w:val="0"/>
          <w:numId w:val="9"/>
        </w:numPr>
        <w:suppressLineNumbers w:val="0"/>
        <w:spacing w:before="120" w:beforeAutospacing="0" w:after="120" w:afterAutospacing="0" w:line="30" w:lineRule="atLeast"/>
        <w:ind w:left="0" w:right="0"/>
        <w:jc w:val="both"/>
      </w:pPr>
      <w:r>
        <w:t xml:space="preserve"> </w:t>
      </w:r>
      <w:r>
        <w:rPr>
          <w:rFonts w:hint="eastAsia" w:ascii="PingFang SC" w:hAnsi="PingFang SC" w:eastAsia="PingFang SC" w:cs="PingFang SC"/>
          <w:b w:val="0"/>
          <w:bCs w:val="0"/>
          <w:i w:val="0"/>
          <w:iCs w:val="0"/>
          <w:color w:val="000000"/>
          <w:spacing w:val="0"/>
          <w:w w:val="100"/>
          <w:sz w:val="24"/>
          <w:szCs w:val="24"/>
          <w:shd w:val="clear" w:fill="FFFFFF"/>
          <w:vertAlign w:val="baseline"/>
        </w:rPr>
        <w:t>For third-party systems with planned support (e.g., Veeam in early 2026): Confirm the transition plan with the customer (e.g., temporary agent-based mode) and clarify the adaptation timeline.</w:t>
      </w:r>
    </w:p>
    <w:p w14:paraId="3391E055">
      <w:pPr>
        <w:pStyle w:val="6"/>
        <w:keepNext w:val="0"/>
        <w:keepLines w:val="0"/>
        <w:widowControl/>
        <w:numPr>
          <w:ilvl w:val="0"/>
          <w:numId w:val="9"/>
        </w:numPr>
        <w:suppressLineNumbers w:val="0"/>
        <w:spacing w:before="120" w:beforeAutospacing="0" w:after="120" w:afterAutospacing="0" w:line="30" w:lineRule="atLeast"/>
        <w:ind w:left="0" w:right="0"/>
        <w:jc w:val="both"/>
      </w:pPr>
      <w:r>
        <w:t xml:space="preserve"> </w:t>
      </w:r>
      <w:r>
        <w:rPr>
          <w:rFonts w:hint="eastAsia" w:ascii="PingFang SC" w:hAnsi="PingFang SC" w:eastAsia="PingFang SC" w:cs="PingFang SC"/>
          <w:b w:val="0"/>
          <w:bCs w:val="0"/>
          <w:i w:val="0"/>
          <w:iCs w:val="0"/>
          <w:color w:val="000000"/>
          <w:spacing w:val="0"/>
          <w:w w:val="100"/>
          <w:sz w:val="24"/>
          <w:szCs w:val="24"/>
          <w:shd w:val="clear" w:fill="FFFFFF"/>
          <w:vertAlign w:val="baseline"/>
        </w:rPr>
        <w:t>For third-party systems with standard API integration (e.g., Nagios, SolarWinds): Assist the customer with custom configuration via APIs and provide configuration guidance documents.</w:t>
      </w:r>
    </w:p>
    <w:p w14:paraId="2C1A800C">
      <w:pPr>
        <w:rPr>
          <w:rFonts w:hint="eastAsia" w:ascii="微软雅黑" w:hAnsi="微软雅黑" w:eastAsia="微软雅黑" w:cs="微软雅黑"/>
        </w:rPr>
      </w:pPr>
    </w:p>
    <w:sectPr>
      <w:pgSz w:w="11905" w:h="16838"/>
      <w:pgMar w:top="1361" w:right="1417" w:bottom="1361" w:left="1417"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inorHAnsi">
    <w:altName w:val="苹方-简"/>
    <w:panose1 w:val="00000000000000000000"/>
    <w:charset w:val="00"/>
    <w:family w:val="auto"/>
    <w:pitch w:val="default"/>
    <w:sig w:usb0="00000000" w:usb1="00000000" w:usb2="00000000" w:usb3="00000000" w:csb0="00000000" w:csb1="00000000"/>
  </w:font>
  <w:font w:name="Segoe Print">
    <w:altName w:val="苹方-简"/>
    <w:panose1 w:val="02000600000000000000"/>
    <w:charset w:val="00"/>
    <w:family w:val="auto"/>
    <w:pitch w:val="default"/>
    <w:sig w:usb0="00000000" w:usb1="00000000" w:usb2="00000000" w:usb3="00000000" w:csb0="2000009F" w:csb1="47010000"/>
  </w:font>
  <w:font w:name="minorEastAsia">
    <w:altName w:val="苹方-简"/>
    <w:panose1 w:val="00000000000000000000"/>
    <w:charset w:val="86"/>
    <w:family w:val="auto"/>
    <w:pitch w:val="default"/>
    <w:sig w:usb0="00000000" w:usb1="00000000" w:usb2="00000000" w:usb3="00000000" w:csb0="00000000" w:csb1="00000000"/>
  </w:font>
  <w:font w:name="微软雅黑">
    <w:altName w:val="汉仪旗黑"/>
    <w:panose1 w:val="020B0503020204020204"/>
    <w:charset w:val="86"/>
    <w:family w:val="auto"/>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汉仪旗黑">
    <w:panose1 w:val="00020600040101010101"/>
    <w:charset w:val="86"/>
    <w:family w:val="auto"/>
    <w:pitch w:val="default"/>
    <w:sig w:usb0="A00002BF" w:usb1="1ACF7CFA" w:usb2="00000016" w:usb3="00000000" w:csb0="0004009F" w:csb1="DFD7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Apple Color Emoji">
    <w:panose1 w:val="00000000000000000000"/>
    <w:charset w:val="00"/>
    <w:family w:val="auto"/>
    <w:pitch w:val="default"/>
    <w:sig w:usb0="00000003" w:usb1="18000000" w:usb2="14000000" w:usb3="00000000" w:csb0="00000001" w:csb1="00000000"/>
  </w:font>
  <w:font w:name="Montserrat">
    <w:altName w:val="苹方-简"/>
    <w:panose1 w:val="00000000000000000000"/>
    <w:charset w:val="00"/>
    <w:family w:val="auto"/>
    <w:pitch w:val="default"/>
    <w:sig w:usb0="00000000" w:usb1="00000000" w:usb2="00000000" w:usb3="00000000" w:csb0="00000000" w:csb1="0000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decimal"/>
      <w:lvlText w:val="%1."/>
      <w:lvlJc w:val="left"/>
    </w:lvl>
    <w:lvl w:ilvl="1" w:tentative="0">
      <w:start w:val="1"/>
      <w:numFmt w:val="lowerLetter"/>
      <w:lvlText w:val="%2."/>
      <w:lvlJc w:val="left"/>
      <w:pPr>
        <w:ind w:leftChars="200" w:hanging="336"/>
      </w:pPr>
    </w:lvl>
    <w:lvl w:ilvl="2" w:tentative="0">
      <w:start w:val="1"/>
      <w:numFmt w:val="lowerRoman"/>
      <w:lvlText w:val="%3."/>
      <w:lvlJc w:val="left"/>
      <w:pPr>
        <w:ind w:leftChars="400" w:hanging="336"/>
      </w:pPr>
    </w:lvl>
    <w:lvl w:ilvl="3" w:tentative="0">
      <w:start w:val="1"/>
      <w:numFmt w:val="decimal"/>
      <w:lvlText w:val="%4."/>
      <w:lvlJc w:val="left"/>
      <w:pPr>
        <w:ind w:leftChars="600" w:firstLine="0"/>
      </w:pPr>
    </w:lvl>
    <w:lvl w:ilvl="4" w:tentative="0">
      <w:start w:val="1"/>
      <w:numFmt w:val="lowerLetter"/>
      <w:lvlText w:val="%5."/>
      <w:lvlJc w:val="left"/>
      <w:pPr>
        <w:ind w:leftChars="800" w:hanging="336"/>
      </w:pPr>
    </w:lvl>
    <w:lvl w:ilvl="5" w:tentative="0">
      <w:start w:val="1"/>
      <w:numFmt w:val="lowerRoman"/>
      <w:lvlText w:val="%6."/>
      <w:lvlJc w:val="left"/>
      <w:pPr>
        <w:ind w:leftChars="1000" w:hanging="336"/>
      </w:pPr>
    </w:lvl>
    <w:lvl w:ilvl="6" w:tentative="0">
      <w:start w:val="1"/>
      <w:numFmt w:val="decimal"/>
      <w:lvlText w:val="%7."/>
      <w:lvlJc w:val="left"/>
      <w:pPr>
        <w:ind w:leftChars="1200" w:firstLine="0"/>
      </w:pPr>
    </w:lvl>
    <w:lvl w:ilvl="7" w:tentative="0">
      <w:start w:val="1"/>
      <w:numFmt w:val="lowerLetter"/>
      <w:lvlText w:val="%8."/>
      <w:lvlJc w:val="left"/>
      <w:pPr>
        <w:ind w:leftChars="1400" w:hanging="336"/>
      </w:pPr>
    </w:lvl>
    <w:lvl w:ilvl="8" w:tentative="0">
      <w:start w:val="1"/>
      <w:numFmt w:val="lowerRoman"/>
      <w:lvlText w:val="%9."/>
      <w:lvlJc w:val="left"/>
      <w:pPr>
        <w:ind w:leftChars="1600" w:hanging="336"/>
      </w:pPr>
    </w:lvl>
  </w:abstractNum>
  <w:abstractNum w:abstractNumId="1">
    <w:nsid w:val="BF205925"/>
    <w:multiLevelType w:val="multilevel"/>
    <w:tmpl w:val="BF205925"/>
    <w:lvl w:ilvl="0" w:tentative="0">
      <w:start w:val="1"/>
      <w:numFmt w:val="decimal"/>
      <w:lvlText w:val="%1."/>
      <w:lvlJc w:val="left"/>
    </w:lvl>
    <w:lvl w:ilvl="1" w:tentative="0">
      <w:start w:val="1"/>
      <w:numFmt w:val="lowerLetter"/>
      <w:lvlText w:val="%2."/>
      <w:lvlJc w:val="left"/>
      <w:pPr>
        <w:ind w:leftChars="200" w:hanging="336"/>
      </w:pPr>
    </w:lvl>
    <w:lvl w:ilvl="2" w:tentative="0">
      <w:start w:val="1"/>
      <w:numFmt w:val="lowerRoman"/>
      <w:lvlText w:val="%3."/>
      <w:lvlJc w:val="left"/>
      <w:pPr>
        <w:ind w:leftChars="400" w:hanging="336"/>
      </w:pPr>
    </w:lvl>
    <w:lvl w:ilvl="3" w:tentative="0">
      <w:start w:val="1"/>
      <w:numFmt w:val="decimal"/>
      <w:lvlText w:val="%4."/>
      <w:lvlJc w:val="left"/>
      <w:pPr>
        <w:ind w:leftChars="600" w:firstLine="0"/>
      </w:pPr>
    </w:lvl>
    <w:lvl w:ilvl="4" w:tentative="0">
      <w:start w:val="1"/>
      <w:numFmt w:val="lowerLetter"/>
      <w:lvlText w:val="%5."/>
      <w:lvlJc w:val="left"/>
      <w:pPr>
        <w:ind w:leftChars="800" w:hanging="336"/>
      </w:pPr>
    </w:lvl>
    <w:lvl w:ilvl="5" w:tentative="0">
      <w:start w:val="1"/>
      <w:numFmt w:val="lowerRoman"/>
      <w:lvlText w:val="%6."/>
      <w:lvlJc w:val="left"/>
      <w:pPr>
        <w:ind w:leftChars="1000" w:hanging="336"/>
      </w:pPr>
    </w:lvl>
    <w:lvl w:ilvl="6" w:tentative="0">
      <w:start w:val="1"/>
      <w:numFmt w:val="decimal"/>
      <w:lvlText w:val="%7."/>
      <w:lvlJc w:val="left"/>
      <w:pPr>
        <w:ind w:leftChars="1200" w:firstLine="0"/>
      </w:pPr>
    </w:lvl>
    <w:lvl w:ilvl="7" w:tentative="0">
      <w:start w:val="1"/>
      <w:numFmt w:val="lowerLetter"/>
      <w:lvlText w:val="%8."/>
      <w:lvlJc w:val="left"/>
      <w:pPr>
        <w:ind w:leftChars="1400" w:hanging="336"/>
      </w:pPr>
    </w:lvl>
    <w:lvl w:ilvl="8" w:tentative="0">
      <w:start w:val="1"/>
      <w:numFmt w:val="lowerRoman"/>
      <w:lvlText w:val="%9."/>
      <w:lvlJc w:val="left"/>
      <w:pPr>
        <w:ind w:leftChars="1600" w:hanging="336"/>
      </w:pPr>
    </w:lvl>
  </w:abstractNum>
  <w:abstractNum w:abstractNumId="2">
    <w:nsid w:val="CF092B84"/>
    <w:multiLevelType w:val="multilevel"/>
    <w:tmpl w:val="CF092B84"/>
    <w:lvl w:ilvl="0" w:tentative="0">
      <w:start w:val="1"/>
      <w:numFmt w:val="decimal"/>
      <w:lvlText w:val="%1."/>
      <w:lvlJc w:val="left"/>
    </w:lvl>
    <w:lvl w:ilvl="1" w:tentative="0">
      <w:start w:val="1"/>
      <w:numFmt w:val="lowerLetter"/>
      <w:lvlText w:val="%2."/>
      <w:lvlJc w:val="left"/>
      <w:pPr>
        <w:ind w:leftChars="200" w:hanging="336"/>
      </w:pPr>
    </w:lvl>
    <w:lvl w:ilvl="2" w:tentative="0">
      <w:start w:val="1"/>
      <w:numFmt w:val="lowerRoman"/>
      <w:lvlText w:val="%3."/>
      <w:lvlJc w:val="left"/>
      <w:pPr>
        <w:ind w:leftChars="400" w:hanging="336"/>
      </w:pPr>
    </w:lvl>
    <w:lvl w:ilvl="3" w:tentative="0">
      <w:start w:val="1"/>
      <w:numFmt w:val="decimal"/>
      <w:lvlText w:val="%4."/>
      <w:lvlJc w:val="left"/>
      <w:pPr>
        <w:ind w:leftChars="600" w:firstLine="0"/>
      </w:pPr>
    </w:lvl>
    <w:lvl w:ilvl="4" w:tentative="0">
      <w:start w:val="1"/>
      <w:numFmt w:val="lowerLetter"/>
      <w:lvlText w:val="%5."/>
      <w:lvlJc w:val="left"/>
      <w:pPr>
        <w:ind w:leftChars="800" w:hanging="336"/>
      </w:pPr>
    </w:lvl>
    <w:lvl w:ilvl="5" w:tentative="0">
      <w:start w:val="1"/>
      <w:numFmt w:val="lowerRoman"/>
      <w:lvlText w:val="%6."/>
      <w:lvlJc w:val="left"/>
      <w:pPr>
        <w:ind w:leftChars="1000" w:hanging="336"/>
      </w:pPr>
    </w:lvl>
    <w:lvl w:ilvl="6" w:tentative="0">
      <w:start w:val="1"/>
      <w:numFmt w:val="decimal"/>
      <w:lvlText w:val="%7."/>
      <w:lvlJc w:val="left"/>
      <w:pPr>
        <w:ind w:leftChars="1200" w:firstLine="0"/>
      </w:pPr>
    </w:lvl>
    <w:lvl w:ilvl="7" w:tentative="0">
      <w:start w:val="1"/>
      <w:numFmt w:val="lowerLetter"/>
      <w:lvlText w:val="%8."/>
      <w:lvlJc w:val="left"/>
      <w:pPr>
        <w:ind w:leftChars="1400" w:hanging="336"/>
      </w:pPr>
    </w:lvl>
    <w:lvl w:ilvl="8" w:tentative="0">
      <w:start w:val="1"/>
      <w:numFmt w:val="lowerRoman"/>
      <w:lvlText w:val="%9."/>
      <w:lvlJc w:val="left"/>
      <w:pPr>
        <w:ind w:leftChars="1600" w:hanging="336"/>
      </w:pPr>
    </w:lvl>
  </w:abstractNum>
  <w:abstractNum w:abstractNumId="3">
    <w:nsid w:val="0248C179"/>
    <w:multiLevelType w:val="multilevel"/>
    <w:tmpl w:val="0248C179"/>
    <w:lvl w:ilvl="0" w:tentative="0">
      <w:start w:val="1"/>
      <w:numFmt w:val="bullet"/>
      <w:lvlText w:val=""/>
      <w:lvlJc w:val="left"/>
      <w:rPr>
        <w:rFonts w:hint="default" w:ascii="Wingdings" w:hAnsi="Wingdings" w:cs="Wingdings"/>
      </w:rPr>
    </w:lvl>
    <w:lvl w:ilvl="1" w:tentative="0">
      <w:start w:val="1"/>
      <w:numFmt w:val="bullet"/>
      <w:lvlText w:val="¡"/>
      <w:lvlJc w:val="left"/>
      <w:pPr>
        <w:ind w:leftChars="200" w:hanging="336"/>
      </w:pPr>
      <w:rPr>
        <w:rFonts w:hint="default" w:ascii="Wingdings" w:hAnsi="Wingdings" w:cs="Wingdings"/>
      </w:rPr>
    </w:lvl>
    <w:lvl w:ilvl="2" w:tentative="0">
      <w:start w:val="1"/>
      <w:numFmt w:val="bullet"/>
      <w:lvlText w:val=""/>
      <w:lvlJc w:val="left"/>
      <w:pPr>
        <w:ind w:leftChars="400" w:hanging="336"/>
      </w:pPr>
      <w:rPr>
        <w:rFonts w:hint="default" w:ascii="Wingdings" w:hAnsi="Wingdings" w:cs="Wingdings"/>
      </w:rPr>
    </w:lvl>
    <w:lvl w:ilvl="3" w:tentative="0">
      <w:start w:val="1"/>
      <w:numFmt w:val="bullet"/>
      <w:lvlText w:val=""/>
      <w:lvlJc w:val="left"/>
      <w:pPr>
        <w:ind w:leftChars="600" w:firstLine="0"/>
      </w:pPr>
      <w:rPr>
        <w:rFonts w:hint="default" w:ascii="Wingdings" w:hAnsi="Wingdings" w:cs="Wingdings"/>
      </w:rPr>
    </w:lvl>
    <w:lvl w:ilvl="4" w:tentative="0">
      <w:start w:val="1"/>
      <w:numFmt w:val="bullet"/>
      <w:lvlText w:val="¡"/>
      <w:lvlJc w:val="left"/>
      <w:pPr>
        <w:ind w:leftChars="800" w:hanging="336"/>
      </w:pPr>
      <w:rPr>
        <w:rFonts w:hint="default" w:ascii="Wingdings" w:hAnsi="Wingdings" w:cs="Wingdings"/>
      </w:rPr>
    </w:lvl>
    <w:lvl w:ilvl="5" w:tentative="0">
      <w:start w:val="1"/>
      <w:numFmt w:val="bullet"/>
      <w:lvlText w:val=""/>
      <w:lvlJc w:val="left"/>
      <w:pPr>
        <w:ind w:leftChars="1000" w:hanging="336"/>
      </w:pPr>
      <w:rPr>
        <w:rFonts w:hint="default" w:ascii="Wingdings" w:hAnsi="Wingdings" w:cs="Wingdings"/>
      </w:rPr>
    </w:lvl>
    <w:lvl w:ilvl="6" w:tentative="0">
      <w:start w:val="1"/>
      <w:numFmt w:val="bullet"/>
      <w:lvlText w:val=""/>
      <w:lvlJc w:val="left"/>
      <w:pPr>
        <w:ind w:leftChars="1200" w:firstLine="0"/>
      </w:pPr>
      <w:rPr>
        <w:rFonts w:hint="default" w:ascii="Wingdings" w:hAnsi="Wingdings" w:cs="Wingdings"/>
      </w:rPr>
    </w:lvl>
    <w:lvl w:ilvl="7" w:tentative="0">
      <w:start w:val="1"/>
      <w:numFmt w:val="bullet"/>
      <w:lvlText w:val="¡"/>
      <w:lvlJc w:val="left"/>
      <w:pPr>
        <w:ind w:leftChars="1400" w:hanging="336"/>
      </w:pPr>
      <w:rPr>
        <w:rFonts w:hint="default" w:ascii="Wingdings" w:hAnsi="Wingdings" w:cs="Wingdings"/>
      </w:rPr>
    </w:lvl>
    <w:lvl w:ilvl="8" w:tentative="0">
      <w:start w:val="1"/>
      <w:numFmt w:val="bullet"/>
      <w:lvlText w:val=""/>
      <w:lvlJc w:val="left"/>
      <w:pPr>
        <w:ind w:leftChars="1600" w:hanging="336"/>
      </w:pPr>
      <w:rPr>
        <w:rFonts w:hint="default" w:ascii="Wingdings" w:hAnsi="Wingdings" w:cs="Wingdings"/>
      </w:rPr>
    </w:lvl>
  </w:abstractNum>
  <w:abstractNum w:abstractNumId="4">
    <w:nsid w:val="03D62ECE"/>
    <w:multiLevelType w:val="multilevel"/>
    <w:tmpl w:val="03D62ECE"/>
    <w:lvl w:ilvl="0" w:tentative="0">
      <w:start w:val="1"/>
      <w:numFmt w:val="bullet"/>
      <w:lvlText w:val=""/>
      <w:lvlJc w:val="left"/>
      <w:rPr>
        <w:rFonts w:hint="default" w:ascii="Wingdings" w:hAnsi="Wingdings" w:cs="Wingdings"/>
      </w:rPr>
    </w:lvl>
    <w:lvl w:ilvl="1" w:tentative="0">
      <w:start w:val="1"/>
      <w:numFmt w:val="bullet"/>
      <w:lvlText w:val="¡"/>
      <w:lvlJc w:val="left"/>
      <w:pPr>
        <w:ind w:leftChars="200" w:hanging="336"/>
      </w:pPr>
      <w:rPr>
        <w:rFonts w:hint="default" w:ascii="Wingdings" w:hAnsi="Wingdings" w:cs="Wingdings"/>
      </w:rPr>
    </w:lvl>
    <w:lvl w:ilvl="2" w:tentative="0">
      <w:start w:val="1"/>
      <w:numFmt w:val="bullet"/>
      <w:lvlText w:val=""/>
      <w:lvlJc w:val="left"/>
      <w:pPr>
        <w:ind w:leftChars="400" w:hanging="336"/>
      </w:pPr>
      <w:rPr>
        <w:rFonts w:hint="default" w:ascii="Wingdings" w:hAnsi="Wingdings" w:cs="Wingdings"/>
      </w:rPr>
    </w:lvl>
    <w:lvl w:ilvl="3" w:tentative="0">
      <w:start w:val="1"/>
      <w:numFmt w:val="bullet"/>
      <w:lvlText w:val=""/>
      <w:lvlJc w:val="left"/>
      <w:pPr>
        <w:ind w:leftChars="600" w:firstLine="0"/>
      </w:pPr>
      <w:rPr>
        <w:rFonts w:hint="default" w:ascii="Wingdings" w:hAnsi="Wingdings" w:cs="Wingdings"/>
      </w:rPr>
    </w:lvl>
    <w:lvl w:ilvl="4" w:tentative="0">
      <w:start w:val="1"/>
      <w:numFmt w:val="bullet"/>
      <w:lvlText w:val="¡"/>
      <w:lvlJc w:val="left"/>
      <w:pPr>
        <w:ind w:leftChars="800" w:hanging="336"/>
      </w:pPr>
      <w:rPr>
        <w:rFonts w:hint="default" w:ascii="Wingdings" w:hAnsi="Wingdings" w:cs="Wingdings"/>
      </w:rPr>
    </w:lvl>
    <w:lvl w:ilvl="5" w:tentative="0">
      <w:start w:val="1"/>
      <w:numFmt w:val="bullet"/>
      <w:lvlText w:val=""/>
      <w:lvlJc w:val="left"/>
      <w:pPr>
        <w:ind w:leftChars="1000" w:hanging="336"/>
      </w:pPr>
      <w:rPr>
        <w:rFonts w:hint="default" w:ascii="Wingdings" w:hAnsi="Wingdings" w:cs="Wingdings"/>
      </w:rPr>
    </w:lvl>
    <w:lvl w:ilvl="6" w:tentative="0">
      <w:start w:val="1"/>
      <w:numFmt w:val="bullet"/>
      <w:lvlText w:val=""/>
      <w:lvlJc w:val="left"/>
      <w:pPr>
        <w:ind w:leftChars="1200" w:firstLine="0"/>
      </w:pPr>
      <w:rPr>
        <w:rFonts w:hint="default" w:ascii="Wingdings" w:hAnsi="Wingdings" w:cs="Wingdings"/>
      </w:rPr>
    </w:lvl>
    <w:lvl w:ilvl="7" w:tentative="0">
      <w:start w:val="1"/>
      <w:numFmt w:val="bullet"/>
      <w:lvlText w:val="¡"/>
      <w:lvlJc w:val="left"/>
      <w:pPr>
        <w:ind w:leftChars="1400" w:hanging="336"/>
      </w:pPr>
      <w:rPr>
        <w:rFonts w:hint="default" w:ascii="Wingdings" w:hAnsi="Wingdings" w:cs="Wingdings"/>
      </w:rPr>
    </w:lvl>
    <w:lvl w:ilvl="8" w:tentative="0">
      <w:start w:val="1"/>
      <w:numFmt w:val="bullet"/>
      <w:lvlText w:val=""/>
      <w:lvlJc w:val="left"/>
      <w:pPr>
        <w:ind w:leftChars="1600" w:hanging="336"/>
      </w:pPr>
      <w:rPr>
        <w:rFonts w:hint="default" w:ascii="Wingdings" w:hAnsi="Wingdings" w:cs="Wingdings"/>
      </w:rPr>
    </w:lvl>
  </w:abstractNum>
  <w:abstractNum w:abstractNumId="5">
    <w:nsid w:val="25B654F3"/>
    <w:multiLevelType w:val="multilevel"/>
    <w:tmpl w:val="25B654F3"/>
    <w:lvl w:ilvl="0" w:tentative="0">
      <w:start w:val="1"/>
      <w:numFmt w:val="bullet"/>
      <w:lvlText w:val=""/>
      <w:lvlJc w:val="left"/>
      <w:rPr>
        <w:rFonts w:hint="default" w:ascii="Wingdings" w:hAnsi="Wingdings" w:cs="Wingdings"/>
      </w:rPr>
    </w:lvl>
    <w:lvl w:ilvl="1" w:tentative="0">
      <w:start w:val="1"/>
      <w:numFmt w:val="bullet"/>
      <w:lvlText w:val="¡"/>
      <w:lvlJc w:val="left"/>
      <w:pPr>
        <w:ind w:leftChars="200" w:hanging="336"/>
      </w:pPr>
      <w:rPr>
        <w:rFonts w:hint="default" w:ascii="Wingdings" w:hAnsi="Wingdings" w:cs="Wingdings"/>
      </w:rPr>
    </w:lvl>
    <w:lvl w:ilvl="2" w:tentative="0">
      <w:start w:val="1"/>
      <w:numFmt w:val="bullet"/>
      <w:lvlText w:val=""/>
      <w:lvlJc w:val="left"/>
      <w:pPr>
        <w:ind w:leftChars="400" w:hanging="336"/>
      </w:pPr>
      <w:rPr>
        <w:rFonts w:hint="default" w:ascii="Wingdings" w:hAnsi="Wingdings" w:cs="Wingdings"/>
      </w:rPr>
    </w:lvl>
    <w:lvl w:ilvl="3" w:tentative="0">
      <w:start w:val="1"/>
      <w:numFmt w:val="bullet"/>
      <w:lvlText w:val=""/>
      <w:lvlJc w:val="left"/>
      <w:pPr>
        <w:ind w:leftChars="600" w:firstLine="0"/>
      </w:pPr>
      <w:rPr>
        <w:rFonts w:hint="default" w:ascii="Wingdings" w:hAnsi="Wingdings" w:cs="Wingdings"/>
      </w:rPr>
    </w:lvl>
    <w:lvl w:ilvl="4" w:tentative="0">
      <w:start w:val="1"/>
      <w:numFmt w:val="bullet"/>
      <w:lvlText w:val="¡"/>
      <w:lvlJc w:val="left"/>
      <w:pPr>
        <w:ind w:leftChars="800" w:hanging="336"/>
      </w:pPr>
      <w:rPr>
        <w:rFonts w:hint="default" w:ascii="Wingdings" w:hAnsi="Wingdings" w:cs="Wingdings"/>
      </w:rPr>
    </w:lvl>
    <w:lvl w:ilvl="5" w:tentative="0">
      <w:start w:val="1"/>
      <w:numFmt w:val="bullet"/>
      <w:lvlText w:val=""/>
      <w:lvlJc w:val="left"/>
      <w:pPr>
        <w:ind w:leftChars="1000" w:hanging="336"/>
      </w:pPr>
      <w:rPr>
        <w:rFonts w:hint="default" w:ascii="Wingdings" w:hAnsi="Wingdings" w:cs="Wingdings"/>
      </w:rPr>
    </w:lvl>
    <w:lvl w:ilvl="6" w:tentative="0">
      <w:start w:val="1"/>
      <w:numFmt w:val="bullet"/>
      <w:lvlText w:val=""/>
      <w:lvlJc w:val="left"/>
      <w:pPr>
        <w:ind w:leftChars="1200" w:firstLine="0"/>
      </w:pPr>
      <w:rPr>
        <w:rFonts w:hint="default" w:ascii="Wingdings" w:hAnsi="Wingdings" w:cs="Wingdings"/>
      </w:rPr>
    </w:lvl>
    <w:lvl w:ilvl="7" w:tentative="0">
      <w:start w:val="1"/>
      <w:numFmt w:val="bullet"/>
      <w:lvlText w:val="¡"/>
      <w:lvlJc w:val="left"/>
      <w:pPr>
        <w:ind w:leftChars="1400" w:hanging="336"/>
      </w:pPr>
      <w:rPr>
        <w:rFonts w:hint="default" w:ascii="Wingdings" w:hAnsi="Wingdings" w:cs="Wingdings"/>
      </w:rPr>
    </w:lvl>
    <w:lvl w:ilvl="8" w:tentative="0">
      <w:start w:val="1"/>
      <w:numFmt w:val="bullet"/>
      <w:lvlText w:val=""/>
      <w:lvlJc w:val="left"/>
      <w:pPr>
        <w:ind w:leftChars="1600" w:hanging="336"/>
      </w:pPr>
      <w:rPr>
        <w:rFonts w:hint="default" w:ascii="Wingdings" w:hAnsi="Wingdings" w:cs="Wingdings"/>
      </w:rPr>
    </w:lvl>
  </w:abstractNum>
  <w:abstractNum w:abstractNumId="6">
    <w:nsid w:val="59ADCABA"/>
    <w:multiLevelType w:val="multilevel"/>
    <w:tmpl w:val="59ADCABA"/>
    <w:lvl w:ilvl="0" w:tentative="0">
      <w:start w:val="1"/>
      <w:numFmt w:val="decimal"/>
      <w:lvlText w:val="%1."/>
      <w:lvlJc w:val="left"/>
    </w:lvl>
    <w:lvl w:ilvl="1" w:tentative="0">
      <w:start w:val="1"/>
      <w:numFmt w:val="lowerLetter"/>
      <w:lvlText w:val="%2."/>
      <w:lvlJc w:val="left"/>
      <w:pPr>
        <w:ind w:leftChars="200" w:hanging="336"/>
      </w:pPr>
    </w:lvl>
    <w:lvl w:ilvl="2" w:tentative="0">
      <w:start w:val="1"/>
      <w:numFmt w:val="lowerRoman"/>
      <w:lvlText w:val="%3."/>
      <w:lvlJc w:val="left"/>
      <w:pPr>
        <w:ind w:leftChars="400" w:hanging="336"/>
      </w:pPr>
    </w:lvl>
    <w:lvl w:ilvl="3" w:tentative="0">
      <w:start w:val="1"/>
      <w:numFmt w:val="decimal"/>
      <w:lvlText w:val="%4."/>
      <w:lvlJc w:val="left"/>
      <w:pPr>
        <w:ind w:leftChars="600" w:firstLine="0"/>
      </w:pPr>
    </w:lvl>
    <w:lvl w:ilvl="4" w:tentative="0">
      <w:start w:val="1"/>
      <w:numFmt w:val="lowerLetter"/>
      <w:lvlText w:val="%5."/>
      <w:lvlJc w:val="left"/>
      <w:pPr>
        <w:ind w:leftChars="800" w:hanging="336"/>
      </w:pPr>
    </w:lvl>
    <w:lvl w:ilvl="5" w:tentative="0">
      <w:start w:val="1"/>
      <w:numFmt w:val="lowerRoman"/>
      <w:lvlText w:val="%6."/>
      <w:lvlJc w:val="left"/>
      <w:pPr>
        <w:ind w:leftChars="1000" w:hanging="336"/>
      </w:pPr>
    </w:lvl>
    <w:lvl w:ilvl="6" w:tentative="0">
      <w:start w:val="1"/>
      <w:numFmt w:val="decimal"/>
      <w:lvlText w:val="%7."/>
      <w:lvlJc w:val="left"/>
      <w:pPr>
        <w:ind w:leftChars="1200" w:firstLine="0"/>
      </w:pPr>
    </w:lvl>
    <w:lvl w:ilvl="7" w:tentative="0">
      <w:start w:val="1"/>
      <w:numFmt w:val="lowerLetter"/>
      <w:lvlText w:val="%8."/>
      <w:lvlJc w:val="left"/>
      <w:pPr>
        <w:ind w:leftChars="1400" w:hanging="336"/>
      </w:pPr>
    </w:lvl>
    <w:lvl w:ilvl="8" w:tentative="0">
      <w:start w:val="1"/>
      <w:numFmt w:val="lowerRoman"/>
      <w:lvlText w:val="%9."/>
      <w:lvlJc w:val="left"/>
      <w:pPr>
        <w:ind w:leftChars="1600" w:hanging="336"/>
      </w:pPr>
    </w:lvl>
  </w:abstractNum>
  <w:abstractNum w:abstractNumId="7">
    <w:nsid w:val="6B8F4E03"/>
    <w:multiLevelType w:val="multilevel"/>
    <w:tmpl w:val="6B8F4E03"/>
    <w:lvl w:ilvl="0" w:tentative="0">
      <w:start w:val="1"/>
      <w:numFmt w:val="decimal"/>
      <w:lvlText w:val="%1."/>
      <w:lvlJc w:val="left"/>
      <w:pPr>
        <w:ind w:left="720"/>
      </w:pPr>
    </w:lvl>
    <w:lvl w:ilvl="1" w:tentative="0">
      <w:start w:val="1"/>
      <w:numFmt w:val="lowerLetter"/>
      <w:lvlText w:val="%2."/>
      <w:lvlJc w:val="left"/>
      <w:pPr>
        <w:ind w:left="1440"/>
      </w:pPr>
    </w:lvl>
    <w:lvl w:ilvl="2" w:tentative="0">
      <w:start w:val="1"/>
      <w:numFmt w:val="lowerRoman"/>
      <w:lvlText w:val="%3."/>
      <w:lvlJc w:val="left"/>
      <w:pPr>
        <w:ind w:left="2160"/>
      </w:pPr>
    </w:lvl>
    <w:lvl w:ilvl="3" w:tentative="0">
      <w:start w:val="1"/>
      <w:numFmt w:val="decimal"/>
      <w:lvlText w:val="%4."/>
      <w:lvlJc w:val="left"/>
      <w:pPr>
        <w:ind w:left="2880"/>
      </w:pPr>
    </w:lvl>
    <w:lvl w:ilvl="4" w:tentative="0">
      <w:start w:val="1"/>
      <w:numFmt w:val="lowerLetter"/>
      <w:lvlText w:val="%5."/>
      <w:lvlJc w:val="left"/>
      <w:pPr>
        <w:ind w:left="3600"/>
      </w:pPr>
    </w:lvl>
    <w:lvl w:ilvl="5" w:tentative="0">
      <w:start w:val="1"/>
      <w:numFmt w:val="lowerRoman"/>
      <w:lvlText w:val="%6."/>
      <w:lvlJc w:val="left"/>
      <w:pPr>
        <w:ind w:left="4320"/>
      </w:pPr>
    </w:lvl>
    <w:lvl w:ilvl="6" w:tentative="0">
      <w:start w:val="1"/>
      <w:numFmt w:val="decimal"/>
      <w:lvlText w:val="%7."/>
      <w:lvlJc w:val="left"/>
      <w:pPr>
        <w:ind w:left="5040"/>
      </w:pPr>
    </w:lvl>
    <w:lvl w:ilvl="7" w:tentative="0">
      <w:start w:val="1"/>
      <w:numFmt w:val="lowerLetter"/>
      <w:lvlText w:val="%8."/>
      <w:lvlJc w:val="left"/>
      <w:pPr>
        <w:ind w:left="5760"/>
      </w:pPr>
    </w:lvl>
    <w:lvl w:ilvl="8" w:tentative="0">
      <w:start w:val="1"/>
      <w:numFmt w:val="lowerRoman"/>
      <w:lvlText w:val="%9."/>
      <w:lvlJc w:val="left"/>
      <w:pPr>
        <w:ind w:left="6480"/>
      </w:pPr>
    </w:lvl>
  </w:abstractNum>
  <w:abstractNum w:abstractNumId="8">
    <w:nsid w:val="72183CF9"/>
    <w:multiLevelType w:val="multilevel"/>
    <w:tmpl w:val="72183CF9"/>
    <w:lvl w:ilvl="0" w:tentative="0">
      <w:start w:val="1"/>
      <w:numFmt w:val="bullet"/>
      <w:lvlText w:val=""/>
      <w:lvlJc w:val="left"/>
      <w:rPr>
        <w:rFonts w:hint="default" w:ascii="Wingdings" w:hAnsi="Wingdings" w:cs="Wingdings"/>
      </w:rPr>
    </w:lvl>
    <w:lvl w:ilvl="1" w:tentative="0">
      <w:start w:val="1"/>
      <w:numFmt w:val="bullet"/>
      <w:lvlText w:val="¡"/>
      <w:lvlJc w:val="left"/>
      <w:pPr>
        <w:ind w:leftChars="200" w:hanging="336"/>
      </w:pPr>
      <w:rPr>
        <w:rFonts w:hint="default" w:ascii="Wingdings" w:hAnsi="Wingdings" w:cs="Wingdings"/>
      </w:rPr>
    </w:lvl>
    <w:lvl w:ilvl="2" w:tentative="0">
      <w:start w:val="1"/>
      <w:numFmt w:val="bullet"/>
      <w:lvlText w:val=""/>
      <w:lvlJc w:val="left"/>
      <w:pPr>
        <w:ind w:leftChars="400" w:hanging="336"/>
      </w:pPr>
      <w:rPr>
        <w:rFonts w:hint="default" w:ascii="Wingdings" w:hAnsi="Wingdings" w:cs="Wingdings"/>
      </w:rPr>
    </w:lvl>
    <w:lvl w:ilvl="3" w:tentative="0">
      <w:start w:val="1"/>
      <w:numFmt w:val="bullet"/>
      <w:lvlText w:val=""/>
      <w:lvlJc w:val="left"/>
      <w:pPr>
        <w:ind w:leftChars="600" w:firstLine="0"/>
      </w:pPr>
      <w:rPr>
        <w:rFonts w:hint="default" w:ascii="Wingdings" w:hAnsi="Wingdings" w:cs="Wingdings"/>
      </w:rPr>
    </w:lvl>
    <w:lvl w:ilvl="4" w:tentative="0">
      <w:start w:val="1"/>
      <w:numFmt w:val="bullet"/>
      <w:lvlText w:val="¡"/>
      <w:lvlJc w:val="left"/>
      <w:pPr>
        <w:ind w:leftChars="800" w:hanging="336"/>
      </w:pPr>
      <w:rPr>
        <w:rFonts w:hint="default" w:ascii="Wingdings" w:hAnsi="Wingdings" w:cs="Wingdings"/>
      </w:rPr>
    </w:lvl>
    <w:lvl w:ilvl="5" w:tentative="0">
      <w:start w:val="1"/>
      <w:numFmt w:val="bullet"/>
      <w:lvlText w:val=""/>
      <w:lvlJc w:val="left"/>
      <w:pPr>
        <w:ind w:leftChars="1000" w:hanging="336"/>
      </w:pPr>
      <w:rPr>
        <w:rFonts w:hint="default" w:ascii="Wingdings" w:hAnsi="Wingdings" w:cs="Wingdings"/>
      </w:rPr>
    </w:lvl>
    <w:lvl w:ilvl="6" w:tentative="0">
      <w:start w:val="1"/>
      <w:numFmt w:val="bullet"/>
      <w:lvlText w:val=""/>
      <w:lvlJc w:val="left"/>
      <w:pPr>
        <w:ind w:leftChars="1200" w:firstLine="0"/>
      </w:pPr>
      <w:rPr>
        <w:rFonts w:hint="default" w:ascii="Wingdings" w:hAnsi="Wingdings" w:cs="Wingdings"/>
      </w:rPr>
    </w:lvl>
    <w:lvl w:ilvl="7" w:tentative="0">
      <w:start w:val="1"/>
      <w:numFmt w:val="bullet"/>
      <w:lvlText w:val="¡"/>
      <w:lvlJc w:val="left"/>
      <w:pPr>
        <w:ind w:leftChars="1400" w:hanging="336"/>
      </w:pPr>
      <w:rPr>
        <w:rFonts w:hint="default" w:ascii="Wingdings" w:hAnsi="Wingdings" w:cs="Wingdings"/>
      </w:rPr>
    </w:lvl>
    <w:lvl w:ilvl="8" w:tentative="0">
      <w:start w:val="1"/>
      <w:numFmt w:val="bullet"/>
      <w:lvlText w:val=""/>
      <w:lvlJc w:val="left"/>
      <w:pPr>
        <w:ind w:leftChars="1600" w:hanging="336"/>
      </w:pPr>
      <w:rPr>
        <w:rFonts w:hint="default" w:ascii="Wingdings" w:hAnsi="Wingdings" w:cs="Wingdings"/>
      </w:rPr>
    </w:lvl>
  </w:abstractNum>
  <w:num w:numId="1">
    <w:abstractNumId w:val="2"/>
  </w:num>
  <w:num w:numId="2">
    <w:abstractNumId w:val="6"/>
  </w:num>
  <w:num w:numId="3">
    <w:abstractNumId w:val="1"/>
  </w:num>
  <w:num w:numId="4">
    <w:abstractNumId w:val="0"/>
  </w:num>
  <w:num w:numId="5">
    <w:abstractNumId w:val="4"/>
  </w:num>
  <w:num w:numId="6">
    <w:abstractNumId w:val="5"/>
  </w:num>
  <w:num w:numId="7">
    <w:abstractNumId w:val="8"/>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5MWY0ZTBhZWUzMzBmYWRjOTExMjZjNWJkODYxOTgifQ=="/>
  </w:docVars>
  <w:rsids>
    <w:rsidRoot w:val="00E023A0"/>
    <w:rsid w:val="00680AC3"/>
    <w:rsid w:val="007452DF"/>
    <w:rsid w:val="00E023A0"/>
    <w:rsid w:val="37F53570"/>
    <w:rsid w:val="F93ED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uiPriority w:val="0"/>
    <w:pPr>
      <w:widowControl w:val="0"/>
      <w:snapToGrid w:val="0"/>
      <w:spacing w:before="60" w:after="60" w:line="312" w:lineRule="auto"/>
      <w:jc w:val="left"/>
    </w:pPr>
    <w:rPr>
      <w:rFonts w:ascii="minorHAnsi" w:hAnsi="minorHAnsi" w:eastAsia="minorEastAsia" w:cstheme="minorBidi"/>
      <w:color w:val="333333"/>
      <w:kern w:val="2"/>
      <w:sz w:val="22"/>
      <w:szCs w:val="22"/>
    </w:rPr>
  </w:style>
  <w:style w:type="paragraph" w:styleId="2">
    <w:name w:val="heading 1"/>
    <w:basedOn w:val="1"/>
    <w:next w:val="1"/>
    <w:qFormat/>
    <w:uiPriority w:val="9"/>
    <w:pPr>
      <w:keepNext/>
      <w:keepLines/>
      <w:spacing w:before="0" w:after="0" w:line="408" w:lineRule="auto"/>
      <w:outlineLvl w:val="0"/>
    </w:pPr>
    <w:rPr>
      <w:b/>
      <w:bCs/>
      <w:color w:val="1A1A1A"/>
      <w:sz w:val="36"/>
      <w:szCs w:val="36"/>
    </w:rPr>
  </w:style>
  <w:style w:type="paragraph" w:styleId="3">
    <w:name w:val="heading 2"/>
    <w:basedOn w:val="1"/>
    <w:next w:val="1"/>
    <w:autoRedefine/>
    <w:qFormat/>
    <w:uiPriority w:val="9"/>
    <w:pPr>
      <w:keepNext/>
      <w:keepLines/>
      <w:spacing w:before="0" w:after="0" w:line="408" w:lineRule="auto"/>
      <w:outlineLvl w:val="1"/>
    </w:pPr>
    <w:rPr>
      <w:b/>
      <w:bCs/>
      <w:color w:val="1A1A1A"/>
      <w:sz w:val="32"/>
      <w:szCs w:val="32"/>
    </w:rPr>
  </w:style>
  <w:style w:type="paragraph" w:styleId="4">
    <w:name w:val="heading 3"/>
    <w:basedOn w:val="1"/>
    <w:next w:val="1"/>
    <w:autoRedefine/>
    <w:qFormat/>
    <w:uiPriority w:val="9"/>
    <w:pPr>
      <w:keepNext/>
      <w:keepLines/>
      <w:spacing w:before="0" w:after="0" w:line="408" w:lineRule="auto"/>
      <w:outlineLvl w:val="2"/>
    </w:pPr>
    <w:rPr>
      <w:b/>
      <w:bCs/>
      <w:color w:val="1A1A1A"/>
      <w:sz w:val="28"/>
      <w:szCs w:val="28"/>
    </w:rPr>
  </w:style>
  <w:style w:type="paragraph" w:styleId="5">
    <w:name w:val="heading 4"/>
    <w:basedOn w:val="1"/>
    <w:next w:val="1"/>
    <w:autoRedefine/>
    <w:qFormat/>
    <w:uiPriority w:val="9"/>
    <w:pPr>
      <w:keepNext/>
      <w:keepLines/>
      <w:spacing w:before="0" w:after="0" w:line="408" w:lineRule="auto"/>
      <w:outlineLvl w:val="3"/>
    </w:pPr>
    <w:rPr>
      <w:b/>
      <w:bCs/>
      <w:color w:val="1A1A1A"/>
      <w:sz w:val="24"/>
      <w:szCs w:val="24"/>
    </w:rPr>
  </w:style>
  <w:style w:type="character" w:default="1" w:styleId="10">
    <w:name w:val="Default Paragraph Font"/>
    <w:autoRedefine/>
    <w:semiHidden/>
    <w:unhideWhenUsed/>
    <w:uiPriority w:val="1"/>
  </w:style>
  <w:style w:type="table" w:default="1" w:styleId="8">
    <w:name w:val="Normal Table"/>
    <w:autoRedefine/>
    <w:semiHidden/>
    <w:unhideWhenUsed/>
    <w:uiPriority w:val="99"/>
    <w:tblPr>
      <w:tblCellMar>
        <w:top w:w="0" w:type="dxa"/>
        <w:left w:w="108" w:type="dxa"/>
        <w:bottom w:w="0" w:type="dxa"/>
        <w:right w:w="108" w:type="dxa"/>
      </w:tblCellMar>
    </w:tblPr>
  </w:style>
  <w:style w:type="paragraph" w:styleId="6">
    <w:name w:val="Normal (Web)"/>
    <w:basedOn w:val="1"/>
    <w:uiPriority w:val="0"/>
    <w:rPr>
      <w:sz w:val="24"/>
    </w:rPr>
  </w:style>
  <w:style w:type="paragraph" w:styleId="7">
    <w:name w:val="Title"/>
    <w:basedOn w:val="1"/>
    <w:next w:val="1"/>
    <w:autoRedefine/>
    <w:qFormat/>
    <w:uiPriority w:val="9"/>
    <w:pPr>
      <w:keepNext/>
      <w:keepLines/>
      <w:spacing w:before="0" w:after="0" w:line="408" w:lineRule="auto"/>
      <w:jc w:val="center"/>
      <w:outlineLvl w:val="0"/>
    </w:pPr>
    <w:rPr>
      <w:b/>
      <w:bCs/>
      <w:color w:val="1A1A1A"/>
      <w:sz w:val="48"/>
      <w:szCs w:val="48"/>
    </w:rPr>
  </w:style>
  <w:style w:type="table" w:styleId="9">
    <w:name w:val="Table Grid"/>
    <w:basedOn w:val="8"/>
    <w:autoRedefine/>
    <w:uiPriority w:val="39"/>
    <w:tblPr>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Pr>
    <w:tcPr>
      <w:vAlign w:val="center"/>
    </w:tcPr>
  </w:style>
  <w:style w:type="character" w:styleId="11">
    <w:name w:val="Strong"/>
    <w:basedOn w:val="10"/>
    <w:qFormat/>
    <w:uiPriority w:val="0"/>
    <w:rPr>
      <w:b/>
    </w:rPr>
  </w:style>
  <w:style w:type="character" w:styleId="12">
    <w:name w:val="Hyperlink"/>
    <w:basedOn w:val="10"/>
    <w:autoRedefine/>
    <w:unhideWhenUsed/>
    <w:uiPriority w:val="99"/>
    <w:rPr>
      <w:color w:val="0000FF"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46</Pages>
  <TotalTime>1</TotalTime>
  <ScaleCrop>false</ScaleCrop>
  <LinksUpToDate>false</LinksUpToDate>
  <Application>WPS Office_12.1.24031.24031_F1E327BC-269C-435d-A152-05C5408002CA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2025-12-08T18:17:00Z</dcterms:created>
  <dc:creator>User</dc:creator>
  <cp:lastModifiedBy>shikaiang</cp:lastModifiedBy>
  <dcterms:modified xsi:type="dcterms:W3CDTF">2026-01-04T14:22:27Z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704D13B78BC020BF23075A6917D6EDAA_43</vt:lpwstr>
  </property>
</Properties>
</file>